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8" w:rsidRPr="006523E5" w:rsidRDefault="00086528" w:rsidP="00086528">
      <w:pPr>
        <w:spacing w:line="360" w:lineRule="auto"/>
        <w:ind w:firstLine="708"/>
        <w:jc w:val="both"/>
        <w:rPr>
          <w:rFonts w:ascii="Calibri" w:hAnsi="Calibri"/>
          <w:spacing w:val="-3"/>
          <w:sz w:val="24"/>
          <w:szCs w:val="24"/>
          <w:lang w:val="ro-RO"/>
        </w:rPr>
      </w:pPr>
      <w:r w:rsidRPr="00852E43">
        <w:rPr>
          <w:rFonts w:ascii="Calibri" w:hAnsi="Calibri"/>
          <w:spacing w:val="-3"/>
          <w:sz w:val="24"/>
          <w:szCs w:val="24"/>
          <w:lang w:val="ro-RO"/>
        </w:rPr>
        <w:t xml:space="preserve">Efectele energetice și economice </w:t>
      </w:r>
      <w:r>
        <w:rPr>
          <w:rFonts w:ascii="Calibri" w:hAnsi="Calibri"/>
          <w:spacing w:val="-3"/>
          <w:sz w:val="24"/>
          <w:szCs w:val="24"/>
          <w:lang w:val="ro-RO"/>
        </w:rPr>
        <w:t xml:space="preserve">realizate în primul an după reabilitare comparativ cu anul 2013 </w:t>
      </w:r>
      <w:r w:rsidRPr="00852E43">
        <w:rPr>
          <w:rFonts w:ascii="Calibri" w:hAnsi="Calibri"/>
          <w:spacing w:val="-3"/>
          <w:sz w:val="24"/>
          <w:szCs w:val="24"/>
          <w:lang w:val="ro-RO"/>
        </w:rPr>
        <w:t>sunt:</w:t>
      </w:r>
    </w:p>
    <w:p w:rsidR="00086528" w:rsidRPr="00054E06" w:rsidRDefault="00086528" w:rsidP="00086528">
      <w:pPr>
        <w:shd w:val="clear" w:color="auto" w:fill="FFFFFF"/>
        <w:spacing w:line="360" w:lineRule="auto"/>
        <w:ind w:firstLine="708"/>
        <w:jc w:val="both"/>
        <w:rPr>
          <w:rFonts w:ascii="Calibri" w:hAnsi="Calibri"/>
          <w:spacing w:val="-3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553"/>
        <w:gridCol w:w="1609"/>
        <w:gridCol w:w="2097"/>
        <w:gridCol w:w="1279"/>
        <w:gridCol w:w="1194"/>
      </w:tblGrid>
      <w:tr w:rsidR="00086528" w:rsidRPr="0091099C" w:rsidTr="00E740F4">
        <w:trPr>
          <w:cantSplit/>
          <w:trHeight w:val="321"/>
        </w:trPr>
        <w:tc>
          <w:tcPr>
            <w:tcW w:w="966" w:type="pct"/>
            <w:vMerge w:val="restart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Investiția</w:t>
            </w:r>
          </w:p>
        </w:tc>
        <w:tc>
          <w:tcPr>
            <w:tcW w:w="1639" w:type="pct"/>
            <w:gridSpan w:val="2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Valoarea investiției</w:t>
            </w:r>
          </w:p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Exclusiv TVA</w:t>
            </w:r>
          </w:p>
        </w:tc>
        <w:tc>
          <w:tcPr>
            <w:tcW w:w="1098" w:type="pct"/>
            <w:vMerge w:val="restart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Economie de energie/apa adaos</w:t>
            </w:r>
          </w:p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[Gcal/an]/[t/an]</w:t>
            </w:r>
          </w:p>
        </w:tc>
        <w:tc>
          <w:tcPr>
            <w:tcW w:w="1297" w:type="pct"/>
            <w:gridSpan w:val="2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Efect economic</w:t>
            </w:r>
          </w:p>
        </w:tc>
      </w:tr>
      <w:tr w:rsidR="00086528" w:rsidRPr="0091099C" w:rsidTr="00E740F4">
        <w:trPr>
          <w:cantSplit/>
          <w:trHeight w:val="599"/>
        </w:trPr>
        <w:tc>
          <w:tcPr>
            <w:tcW w:w="966" w:type="pct"/>
            <w:vMerge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</w:p>
        </w:tc>
        <w:tc>
          <w:tcPr>
            <w:tcW w:w="796" w:type="pct"/>
            <w:shd w:val="clear" w:color="auto" w:fill="FDE9D9"/>
            <w:vAlign w:val="center"/>
          </w:tcPr>
          <w:p w:rsidR="00086528" w:rsidRPr="0091099C" w:rsidRDefault="00086528" w:rsidP="00720F47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 xml:space="preserve">[ mii </w:t>
            </w:r>
            <w:r w:rsidR="00720F47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lei</w:t>
            </w: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]</w:t>
            </w:r>
          </w:p>
        </w:tc>
        <w:tc>
          <w:tcPr>
            <w:tcW w:w="843" w:type="pct"/>
            <w:shd w:val="clear" w:color="auto" w:fill="FDE9D9"/>
            <w:vAlign w:val="center"/>
          </w:tcPr>
          <w:p w:rsidR="00086528" w:rsidRPr="0091099C" w:rsidRDefault="00086528" w:rsidP="00720F47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 xml:space="preserve">[mii </w:t>
            </w:r>
            <w:r w:rsidR="00720F47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euro</w:t>
            </w: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]</w:t>
            </w:r>
          </w:p>
        </w:tc>
        <w:tc>
          <w:tcPr>
            <w:tcW w:w="1098" w:type="pct"/>
            <w:vMerge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</w:p>
        </w:tc>
        <w:tc>
          <w:tcPr>
            <w:tcW w:w="671" w:type="pct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[mii euro/an]</w:t>
            </w:r>
          </w:p>
        </w:tc>
        <w:tc>
          <w:tcPr>
            <w:tcW w:w="626" w:type="pct"/>
            <w:shd w:val="clear" w:color="auto" w:fill="FDE9D9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Helvetica"/>
                <w:b/>
                <w:sz w:val="22"/>
                <w:szCs w:val="22"/>
                <w:lang w:eastAsia="ro-RO"/>
              </w:rPr>
              <w:t>[mii lei/an]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consum de gaze naturale</w:t>
            </w:r>
          </w:p>
        </w:tc>
        <w:tc>
          <w:tcPr>
            <w:tcW w:w="796" w:type="pct"/>
            <w:vMerge w:val="restart"/>
            <w:vAlign w:val="center"/>
          </w:tcPr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271DE8">
              <w:rPr>
                <w:rFonts w:ascii="Calibri" w:hAnsi="Calibri" w:cs="Arial"/>
                <w:sz w:val="22"/>
                <w:szCs w:val="22"/>
                <w:lang w:eastAsia="ro-RO"/>
              </w:rPr>
              <w:t>116.450,99869</w:t>
            </w:r>
          </w:p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</w:p>
        </w:tc>
        <w:tc>
          <w:tcPr>
            <w:tcW w:w="843" w:type="pct"/>
            <w:vMerge w:val="restart"/>
            <w:vAlign w:val="center"/>
          </w:tcPr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271DE8">
              <w:rPr>
                <w:rFonts w:ascii="Calibri" w:hAnsi="Calibri" w:cs="Arial"/>
                <w:sz w:val="22"/>
                <w:szCs w:val="22"/>
                <w:lang w:eastAsia="ro-RO"/>
              </w:rPr>
              <w:t>26.256,08737</w:t>
            </w:r>
          </w:p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 w:cs="Arial"/>
                <w:lang w:val="ro-RO"/>
              </w:rPr>
            </w:pPr>
            <w:r w:rsidRPr="00092F2E">
              <w:rPr>
                <w:rFonts w:ascii="Calibri" w:hAnsi="Calibri" w:cs="Arial"/>
                <w:lang w:val="ro-RO"/>
              </w:rPr>
              <w:t>11301</w:t>
            </w:r>
          </w:p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mii mc/an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3216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>
              <w:rPr>
                <w:rFonts w:ascii="Calibri" w:hAnsi="Calibri" w:cs="Arial"/>
                <w:sz w:val="22"/>
                <w:szCs w:val="22"/>
                <w:lang w:eastAsia="ro-RO"/>
              </w:rPr>
              <w:t>14311,2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pierderi fluid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480774 t/an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 w:cs="Arial"/>
                <w:lang w:val="ro-RO"/>
              </w:rPr>
            </w:pPr>
            <w:r w:rsidRPr="00092F2E">
              <w:rPr>
                <w:rFonts w:ascii="Calibri" w:hAnsi="Calibri" w:cs="Arial"/>
                <w:lang w:val="ro-RO"/>
              </w:rPr>
              <w:t>386,34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1719,2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cantitate CO</w:t>
            </w:r>
            <w:r w:rsidRPr="0091099C">
              <w:rPr>
                <w:rFonts w:ascii="Calibri" w:hAnsi="Calibri" w:cs="Arial"/>
                <w:sz w:val="22"/>
                <w:szCs w:val="22"/>
                <w:vertAlign w:val="subscript"/>
                <w:lang w:eastAsia="ro-RO"/>
              </w:rPr>
              <w:t>2</w:t>
            </w: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 xml:space="preserve"> evacuata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22558 t/an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092F2E">
              <w:rPr>
                <w:rFonts w:ascii="Calibri" w:hAnsi="Calibri"/>
                <w:color w:val="000000"/>
              </w:rPr>
              <w:t>451,16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2007,7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cantitate emisii de NOx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29,16 t/an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092F2E">
              <w:rPr>
                <w:rFonts w:ascii="Calibri" w:hAnsi="Calibri"/>
                <w:color w:val="000000"/>
              </w:rPr>
              <w:t>262,44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1167,86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emisii de SO2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14,08 t/an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092F2E">
              <w:rPr>
                <w:rFonts w:ascii="Calibri" w:hAnsi="Calibri"/>
                <w:color w:val="000000"/>
              </w:rPr>
              <w:t>136,58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607,8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emisii de pulberi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2,01 t/an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092F2E">
              <w:rPr>
                <w:rFonts w:ascii="Calibri" w:hAnsi="Calibri"/>
                <w:color w:val="000000"/>
              </w:rPr>
              <w:t>121,48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540,59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consum energie electrica pentru pompare adaos in reteaua termica primara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500 MWh</w:t>
            </w:r>
          </w:p>
        </w:tc>
        <w:tc>
          <w:tcPr>
            <w:tcW w:w="671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092F2E">
              <w:rPr>
                <w:rFonts w:ascii="Calibri" w:hAnsi="Calibri" w:cs="Arial"/>
                <w:sz w:val="22"/>
                <w:szCs w:val="22"/>
                <w:lang w:eastAsia="ro-RO"/>
              </w:rPr>
              <w:t>25,0</w:t>
            </w:r>
          </w:p>
        </w:tc>
        <w:tc>
          <w:tcPr>
            <w:tcW w:w="626" w:type="pct"/>
            <w:vAlign w:val="center"/>
          </w:tcPr>
          <w:p w:rsidR="00086528" w:rsidRPr="00092F2E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>
              <w:rPr>
                <w:rFonts w:ascii="Calibri" w:hAnsi="Calibri" w:cs="Arial"/>
                <w:sz w:val="22"/>
                <w:szCs w:val="22"/>
                <w:lang w:eastAsia="ro-RO"/>
              </w:rPr>
              <w:t>111,25</w:t>
            </w:r>
          </w:p>
        </w:tc>
      </w:tr>
      <w:tr w:rsidR="00086528" w:rsidRPr="0091099C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Reducere costuri reparatii si reparatii accidentale</w:t>
            </w:r>
          </w:p>
        </w:tc>
        <w:tc>
          <w:tcPr>
            <w:tcW w:w="796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Merge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9D007B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D007B">
              <w:rPr>
                <w:rFonts w:ascii="Calibri" w:hAnsi="Calibri" w:cs="Arial"/>
                <w:sz w:val="22"/>
                <w:szCs w:val="22"/>
                <w:lang w:eastAsia="ro-RO"/>
              </w:rPr>
              <w:t>1212,180 mii lei/an</w:t>
            </w:r>
          </w:p>
        </w:tc>
        <w:tc>
          <w:tcPr>
            <w:tcW w:w="671" w:type="pct"/>
            <w:vAlign w:val="center"/>
          </w:tcPr>
          <w:p w:rsidR="00086528" w:rsidRPr="009D007B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D007B">
              <w:rPr>
                <w:rFonts w:ascii="Calibri" w:hAnsi="Calibri" w:cs="Arial"/>
                <w:sz w:val="22"/>
                <w:szCs w:val="22"/>
                <w:lang w:eastAsia="ro-RO"/>
              </w:rPr>
              <w:t>272,400</w:t>
            </w:r>
          </w:p>
        </w:tc>
        <w:tc>
          <w:tcPr>
            <w:tcW w:w="626" w:type="pct"/>
            <w:vAlign w:val="center"/>
          </w:tcPr>
          <w:p w:rsidR="00086528" w:rsidRPr="009D007B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D007B">
              <w:rPr>
                <w:rFonts w:ascii="Calibri" w:hAnsi="Calibri" w:cs="Arial"/>
                <w:sz w:val="22"/>
                <w:szCs w:val="22"/>
                <w:lang w:eastAsia="ro-RO"/>
              </w:rPr>
              <w:t>1212,180</w:t>
            </w:r>
          </w:p>
        </w:tc>
      </w:tr>
      <w:tr w:rsidR="00086528" w:rsidRPr="00054E06" w:rsidTr="00E740F4">
        <w:trPr>
          <w:cantSplit/>
        </w:trPr>
        <w:tc>
          <w:tcPr>
            <w:tcW w:w="966" w:type="pct"/>
            <w:vAlign w:val="center"/>
          </w:tcPr>
          <w:p w:rsidR="00086528" w:rsidRPr="0091099C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91099C">
              <w:rPr>
                <w:rFonts w:ascii="Calibri" w:hAnsi="Calibri" w:cs="Arial"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796" w:type="pct"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843" w:type="pct"/>
            <w:vAlign w:val="center"/>
          </w:tcPr>
          <w:p w:rsidR="00086528" w:rsidRPr="002227E1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1098" w:type="pct"/>
            <w:vAlign w:val="center"/>
          </w:tcPr>
          <w:p w:rsidR="00086528" w:rsidRPr="009D007B" w:rsidRDefault="00086528" w:rsidP="00E740F4">
            <w:pPr>
              <w:pStyle w:val="Footer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</w:p>
        </w:tc>
        <w:tc>
          <w:tcPr>
            <w:tcW w:w="671" w:type="pct"/>
            <w:vAlign w:val="center"/>
          </w:tcPr>
          <w:p w:rsidR="00086528" w:rsidRPr="009D007B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9D007B">
              <w:rPr>
                <w:rFonts w:ascii="Calibri" w:hAnsi="Calibri"/>
                <w:color w:val="000000"/>
              </w:rPr>
              <w:t>4871,4</w:t>
            </w:r>
          </w:p>
        </w:tc>
        <w:tc>
          <w:tcPr>
            <w:tcW w:w="626" w:type="pct"/>
            <w:vAlign w:val="center"/>
          </w:tcPr>
          <w:p w:rsidR="00086528" w:rsidRPr="009D007B" w:rsidRDefault="00086528" w:rsidP="00E740F4">
            <w:pPr>
              <w:jc w:val="center"/>
              <w:rPr>
                <w:rFonts w:ascii="Calibri" w:hAnsi="Calibri"/>
                <w:color w:val="000000"/>
              </w:rPr>
            </w:pPr>
            <w:r w:rsidRPr="009D007B">
              <w:rPr>
                <w:rFonts w:ascii="Calibri" w:hAnsi="Calibri"/>
                <w:color w:val="000000"/>
              </w:rPr>
              <w:t>21677,73</w:t>
            </w:r>
          </w:p>
        </w:tc>
      </w:tr>
    </w:tbl>
    <w:p w:rsidR="00086528" w:rsidRPr="00054E06" w:rsidRDefault="00086528" w:rsidP="00086528">
      <w:pPr>
        <w:pStyle w:val="Footer"/>
        <w:spacing w:line="360" w:lineRule="auto"/>
        <w:ind w:left="480"/>
        <w:rPr>
          <w:rFonts w:ascii="Calibri" w:hAnsi="Calibri" w:cs="Helvetica"/>
          <w:b/>
          <w:szCs w:val="24"/>
          <w:lang w:eastAsia="ro-RO"/>
        </w:rPr>
      </w:pPr>
    </w:p>
    <w:p w:rsidR="00086528" w:rsidRPr="00054E06" w:rsidRDefault="00086528" w:rsidP="00086528">
      <w:pPr>
        <w:shd w:val="clear" w:color="auto" w:fill="FFFFFF"/>
        <w:spacing w:line="360" w:lineRule="auto"/>
        <w:ind w:firstLine="708"/>
        <w:jc w:val="both"/>
        <w:rPr>
          <w:rFonts w:ascii="Calibri" w:hAnsi="Calibri"/>
          <w:spacing w:val="-3"/>
          <w:sz w:val="24"/>
          <w:szCs w:val="24"/>
          <w:lang w:val="ro-RO"/>
        </w:rPr>
      </w:pPr>
      <w:r w:rsidRPr="00054E06">
        <w:rPr>
          <w:rFonts w:ascii="Calibri" w:hAnsi="Calibri"/>
          <w:spacing w:val="-3"/>
          <w:sz w:val="24"/>
          <w:szCs w:val="24"/>
          <w:lang w:val="ro-RO"/>
        </w:rPr>
        <w:t>Efectele energetice ale reabilit</w:t>
      </w:r>
      <w:r>
        <w:rPr>
          <w:rFonts w:ascii="Calibri" w:hAnsi="Calibri"/>
          <w:spacing w:val="-3"/>
          <w:sz w:val="24"/>
          <w:szCs w:val="24"/>
          <w:lang w:val="ro-RO"/>
        </w:rPr>
        <w:t>ă</w:t>
      </w:r>
      <w:r w:rsidRPr="00054E06">
        <w:rPr>
          <w:rFonts w:ascii="Calibri" w:hAnsi="Calibri"/>
          <w:spacing w:val="-3"/>
          <w:sz w:val="24"/>
          <w:szCs w:val="24"/>
          <w:lang w:val="ro-RO"/>
        </w:rPr>
        <w:t>rilor, func</w:t>
      </w:r>
      <w:r>
        <w:rPr>
          <w:rFonts w:ascii="Calibri" w:hAnsi="Calibri"/>
          <w:spacing w:val="-3"/>
          <w:sz w:val="24"/>
          <w:szCs w:val="24"/>
          <w:lang w:val="ro-RO"/>
        </w:rPr>
        <w:t>ț</w:t>
      </w:r>
      <w:r w:rsidRPr="00054E06">
        <w:rPr>
          <w:rFonts w:ascii="Calibri" w:hAnsi="Calibri"/>
          <w:spacing w:val="-3"/>
          <w:sz w:val="24"/>
          <w:szCs w:val="24"/>
          <w:lang w:val="ro-RO"/>
        </w:rPr>
        <w:t>ie de scopul investi</w:t>
      </w:r>
      <w:r>
        <w:rPr>
          <w:rFonts w:ascii="Calibri" w:hAnsi="Calibri"/>
          <w:spacing w:val="-3"/>
          <w:sz w:val="24"/>
          <w:szCs w:val="24"/>
          <w:lang w:val="ro-RO"/>
        </w:rPr>
        <w:t>ț</w:t>
      </w:r>
      <w:r w:rsidRPr="00054E06">
        <w:rPr>
          <w:rFonts w:ascii="Calibri" w:hAnsi="Calibri"/>
          <w:spacing w:val="-3"/>
          <w:sz w:val="24"/>
          <w:szCs w:val="24"/>
          <w:lang w:val="ro-RO"/>
        </w:rPr>
        <w:t>iei se prezint</w:t>
      </w:r>
      <w:r>
        <w:rPr>
          <w:rFonts w:ascii="Calibri" w:hAnsi="Calibri"/>
          <w:spacing w:val="-3"/>
          <w:sz w:val="24"/>
          <w:szCs w:val="24"/>
          <w:lang w:val="ro-RO"/>
        </w:rPr>
        <w:t>ă</w:t>
      </w:r>
      <w:r w:rsidRPr="00054E06">
        <w:rPr>
          <w:rFonts w:ascii="Calibri" w:hAnsi="Calibri"/>
          <w:spacing w:val="-3"/>
          <w:sz w:val="24"/>
          <w:szCs w:val="24"/>
          <w:lang w:val="ro-RO"/>
        </w:rPr>
        <w:t xml:space="preserve"> astfel: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548"/>
        <w:gridCol w:w="1547"/>
        <w:gridCol w:w="2683"/>
        <w:gridCol w:w="1570"/>
      </w:tblGrid>
      <w:tr w:rsidR="00086528" w:rsidRPr="00054E06" w:rsidTr="00E740F4">
        <w:trPr>
          <w:trHeight w:val="351"/>
          <w:jc w:val="center"/>
        </w:trPr>
        <w:tc>
          <w:tcPr>
            <w:tcW w:w="1163" w:type="pct"/>
            <w:vMerge w:val="restart"/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Tip investitie</w:t>
            </w:r>
          </w:p>
        </w:tc>
        <w:tc>
          <w:tcPr>
            <w:tcW w:w="1615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Valoare investitie</w:t>
            </w:r>
          </w:p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>
              <w:rPr>
                <w:rFonts w:ascii="Calibri" w:hAnsi="Calibri"/>
                <w:b/>
                <w:spacing w:val="-3"/>
                <w:lang w:val="ro-RO"/>
              </w:rPr>
              <w:t>(</w:t>
            </w:r>
            <w:r w:rsidRPr="00054E06">
              <w:rPr>
                <w:rFonts w:ascii="Calibri" w:hAnsi="Calibri"/>
                <w:b/>
                <w:spacing w:val="-3"/>
                <w:lang w:val="ro-RO"/>
              </w:rPr>
              <w:t>mii.Euro)</w:t>
            </w:r>
          </w:p>
        </w:tc>
        <w:tc>
          <w:tcPr>
            <w:tcW w:w="1401" w:type="pct"/>
            <w:vMerge w:val="restart"/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Economie de  energie termica; energie electrica; apa</w:t>
            </w:r>
          </w:p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Gcal/an; GWh/an; t/an</w:t>
            </w:r>
          </w:p>
        </w:tc>
        <w:tc>
          <w:tcPr>
            <w:tcW w:w="821" w:type="pct"/>
            <w:vMerge w:val="restart"/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Efect economic</w:t>
            </w:r>
          </w:p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[mii.Euro]</w:t>
            </w:r>
          </w:p>
        </w:tc>
      </w:tr>
      <w:tr w:rsidR="00086528" w:rsidRPr="00054E06" w:rsidTr="00E740F4">
        <w:trPr>
          <w:trHeight w:val="89"/>
          <w:jc w:val="center"/>
        </w:trPr>
        <w:tc>
          <w:tcPr>
            <w:tcW w:w="1163" w:type="pct"/>
            <w:vMerge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</w:p>
        </w:tc>
        <w:tc>
          <w:tcPr>
            <w:tcW w:w="808" w:type="pct"/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Exclusiv TVA</w:t>
            </w:r>
          </w:p>
        </w:tc>
        <w:tc>
          <w:tcPr>
            <w:tcW w:w="808" w:type="pct"/>
            <w:shd w:val="clear" w:color="auto" w:fill="FDE9D9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b/>
                <w:spacing w:val="-3"/>
                <w:lang w:val="ro-RO"/>
              </w:rPr>
            </w:pPr>
            <w:r w:rsidRPr="00054E06">
              <w:rPr>
                <w:rFonts w:ascii="Calibri" w:hAnsi="Calibri"/>
                <w:b/>
                <w:spacing w:val="-3"/>
                <w:lang w:val="ro-RO"/>
              </w:rPr>
              <w:t>Inclusiv TVA</w:t>
            </w:r>
          </w:p>
        </w:tc>
        <w:tc>
          <w:tcPr>
            <w:tcW w:w="1401" w:type="pct"/>
            <w:vMerge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</w:p>
        </w:tc>
        <w:tc>
          <w:tcPr>
            <w:tcW w:w="821" w:type="pct"/>
            <w:vMerge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</w:p>
        </w:tc>
      </w:tr>
      <w:tr w:rsidR="00086528" w:rsidRPr="00054E06" w:rsidTr="00E740F4">
        <w:trPr>
          <w:trHeight w:val="56"/>
          <w:jc w:val="center"/>
        </w:trPr>
        <w:tc>
          <w:tcPr>
            <w:tcW w:w="1163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1. Investi</w:t>
            </w:r>
            <w:r>
              <w:rPr>
                <w:rFonts w:ascii="Calibri" w:hAnsi="Calibri"/>
                <w:spacing w:val="-3"/>
                <w:lang w:val="ro-RO"/>
              </w:rPr>
              <w:t>ți</w:t>
            </w:r>
            <w:r w:rsidRPr="00054E06">
              <w:rPr>
                <w:rFonts w:ascii="Calibri" w:hAnsi="Calibri"/>
                <w:spacing w:val="-3"/>
                <w:lang w:val="ro-RO"/>
              </w:rPr>
              <w:t>i de mediu</w:t>
            </w:r>
          </w:p>
        </w:tc>
        <w:tc>
          <w:tcPr>
            <w:tcW w:w="808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-</w:t>
            </w:r>
          </w:p>
        </w:tc>
        <w:tc>
          <w:tcPr>
            <w:tcW w:w="808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-</w:t>
            </w:r>
          </w:p>
        </w:tc>
        <w:tc>
          <w:tcPr>
            <w:tcW w:w="1401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-</w:t>
            </w:r>
          </w:p>
        </w:tc>
        <w:tc>
          <w:tcPr>
            <w:tcW w:w="821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jc w:val="center"/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-</w:t>
            </w:r>
          </w:p>
        </w:tc>
      </w:tr>
      <w:tr w:rsidR="00086528" w:rsidRPr="00054E06" w:rsidTr="00E740F4">
        <w:trPr>
          <w:trHeight w:val="56"/>
          <w:jc w:val="center"/>
        </w:trPr>
        <w:tc>
          <w:tcPr>
            <w:tcW w:w="1163" w:type="pct"/>
            <w:vAlign w:val="center"/>
          </w:tcPr>
          <w:p w:rsidR="00086528" w:rsidRPr="00054E06" w:rsidRDefault="00086528" w:rsidP="00E740F4">
            <w:pPr>
              <w:tabs>
                <w:tab w:val="left" w:pos="851"/>
              </w:tabs>
              <w:rPr>
                <w:rFonts w:ascii="Calibri" w:hAnsi="Calibri"/>
                <w:spacing w:val="-3"/>
                <w:lang w:val="ro-RO"/>
              </w:rPr>
            </w:pPr>
            <w:r w:rsidRPr="00054E06">
              <w:rPr>
                <w:rFonts w:ascii="Calibri" w:hAnsi="Calibri"/>
                <w:spacing w:val="-3"/>
                <w:lang w:val="ro-RO"/>
              </w:rPr>
              <w:t>2. Investi</w:t>
            </w:r>
            <w:r>
              <w:rPr>
                <w:rFonts w:ascii="Calibri" w:hAnsi="Calibri"/>
                <w:spacing w:val="-3"/>
                <w:lang w:val="ro-RO"/>
              </w:rPr>
              <w:t>ții</w:t>
            </w:r>
            <w:r w:rsidRPr="00054E06">
              <w:rPr>
                <w:rFonts w:ascii="Calibri" w:hAnsi="Calibri"/>
                <w:spacing w:val="-3"/>
                <w:lang w:val="ro-RO"/>
              </w:rPr>
              <w:t xml:space="preserve"> pentru cre</w:t>
            </w:r>
            <w:r>
              <w:rPr>
                <w:rFonts w:ascii="Calibri" w:hAnsi="Calibri"/>
                <w:spacing w:val="-3"/>
                <w:lang w:val="ro-RO"/>
              </w:rPr>
              <w:t>ș</w:t>
            </w:r>
            <w:r w:rsidRPr="00054E06">
              <w:rPr>
                <w:rFonts w:ascii="Calibri" w:hAnsi="Calibri"/>
                <w:spacing w:val="-3"/>
                <w:lang w:val="ro-RO"/>
              </w:rPr>
              <w:t>tere</w:t>
            </w:r>
            <w:r>
              <w:rPr>
                <w:rFonts w:ascii="Calibri" w:hAnsi="Calibri"/>
                <w:spacing w:val="-3"/>
                <w:lang w:val="ro-RO"/>
              </w:rPr>
              <w:t>a</w:t>
            </w:r>
            <w:r w:rsidRPr="00054E06">
              <w:rPr>
                <w:rFonts w:ascii="Calibri" w:hAnsi="Calibri"/>
                <w:spacing w:val="-3"/>
                <w:lang w:val="ro-RO"/>
              </w:rPr>
              <w:t xml:space="preserve"> eficien</w:t>
            </w:r>
            <w:r>
              <w:rPr>
                <w:rFonts w:ascii="Calibri" w:hAnsi="Calibri"/>
                <w:spacing w:val="-3"/>
                <w:lang w:val="ro-RO"/>
              </w:rPr>
              <w:t>ței</w:t>
            </w:r>
            <w:r w:rsidRPr="00054E06">
              <w:rPr>
                <w:rFonts w:ascii="Calibri" w:hAnsi="Calibri"/>
                <w:spacing w:val="-3"/>
                <w:lang w:val="ro-RO"/>
              </w:rPr>
              <w:t xml:space="preserve"> energetic</w:t>
            </w:r>
            <w:r>
              <w:rPr>
                <w:rFonts w:ascii="Calibri" w:hAnsi="Calibri"/>
                <w:spacing w:val="-3"/>
                <w:lang w:val="ro-RO"/>
              </w:rPr>
              <w:t>e</w:t>
            </w:r>
          </w:p>
        </w:tc>
        <w:tc>
          <w:tcPr>
            <w:tcW w:w="808" w:type="pct"/>
            <w:vAlign w:val="center"/>
          </w:tcPr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271DE8">
              <w:rPr>
                <w:rFonts w:ascii="Calibri" w:hAnsi="Calibri" w:cs="Arial"/>
                <w:sz w:val="22"/>
                <w:szCs w:val="22"/>
                <w:lang w:eastAsia="ro-RO"/>
              </w:rPr>
              <w:t>26.256,08737</w:t>
            </w:r>
          </w:p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</w:p>
        </w:tc>
        <w:tc>
          <w:tcPr>
            <w:tcW w:w="808" w:type="pct"/>
            <w:vAlign w:val="center"/>
          </w:tcPr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  <w:r w:rsidRPr="00271DE8">
              <w:rPr>
                <w:rFonts w:ascii="Calibri" w:hAnsi="Calibri" w:cs="Arial"/>
                <w:sz w:val="22"/>
                <w:szCs w:val="22"/>
                <w:lang w:eastAsia="ro-RO"/>
              </w:rPr>
              <w:t>32.487,98456</w:t>
            </w:r>
          </w:p>
          <w:p w:rsidR="00086528" w:rsidRPr="00271DE8" w:rsidRDefault="00086528" w:rsidP="00E740F4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  <w:lang w:eastAsia="ro-RO"/>
              </w:rPr>
            </w:pPr>
          </w:p>
        </w:tc>
        <w:tc>
          <w:tcPr>
            <w:tcW w:w="1401" w:type="pct"/>
          </w:tcPr>
          <w:p w:rsidR="00086528" w:rsidRPr="001D6EB2" w:rsidRDefault="00086528" w:rsidP="00E740F4">
            <w:pPr>
              <w:jc w:val="center"/>
              <w:rPr>
                <w:rFonts w:ascii="Calibri" w:hAnsi="Calibri" w:cs="Arial"/>
                <w:lang w:val="ro-RO" w:eastAsia="ro-RO"/>
              </w:rPr>
            </w:pPr>
            <w:r w:rsidRPr="001D6EB2">
              <w:rPr>
                <w:rFonts w:ascii="Calibri" w:hAnsi="Calibri" w:cs="Arial"/>
              </w:rPr>
              <w:t>88318</w:t>
            </w:r>
            <w:r w:rsidRPr="001D6EB2">
              <w:rPr>
                <w:rFonts w:ascii="Calibri" w:hAnsi="Calibri" w:cs="Arial"/>
                <w:lang w:val="ro-RO" w:eastAsia="ro-RO"/>
              </w:rPr>
              <w:t>Gcal/an;</w:t>
            </w:r>
          </w:p>
          <w:p w:rsidR="00086528" w:rsidRPr="001D6EB2" w:rsidRDefault="00086528" w:rsidP="00E740F4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hAnsi="Calibri"/>
                <w:spacing w:val="-3"/>
                <w:lang w:val="ro-RO"/>
              </w:rPr>
            </w:pPr>
            <w:r w:rsidRPr="001D6EB2">
              <w:rPr>
                <w:rFonts w:ascii="Calibri" w:hAnsi="Calibri" w:cs="Arial"/>
                <w:lang w:val="ro-RO" w:eastAsia="ro-RO"/>
              </w:rPr>
              <w:t>500MWh</w:t>
            </w:r>
          </w:p>
          <w:p w:rsidR="00086528" w:rsidRPr="001D6EB2" w:rsidRDefault="00086528" w:rsidP="00E740F4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hAnsi="Calibri"/>
                <w:spacing w:val="-3"/>
                <w:lang w:val="ro-RO"/>
              </w:rPr>
            </w:pPr>
            <w:r w:rsidRPr="001D6EB2">
              <w:rPr>
                <w:rFonts w:ascii="Calibri" w:hAnsi="Calibri" w:cs="Arial"/>
                <w:lang w:val="ro-RO" w:eastAsia="ro-RO"/>
              </w:rPr>
              <w:t>480774 t/an</w:t>
            </w:r>
          </w:p>
        </w:tc>
        <w:tc>
          <w:tcPr>
            <w:tcW w:w="821" w:type="pct"/>
            <w:vAlign w:val="center"/>
          </w:tcPr>
          <w:p w:rsidR="00086528" w:rsidRPr="001D6EB2" w:rsidRDefault="00086528" w:rsidP="00E740F4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hAnsi="Calibri"/>
                <w:spacing w:val="-3"/>
                <w:lang w:val="ro-RO"/>
              </w:rPr>
            </w:pPr>
            <w:r w:rsidRPr="001D6EB2">
              <w:rPr>
                <w:rFonts w:ascii="Calibri" w:hAnsi="Calibri"/>
                <w:spacing w:val="-3"/>
                <w:lang w:val="ro-RO"/>
              </w:rPr>
              <w:t>344,2</w:t>
            </w:r>
          </w:p>
          <w:p w:rsidR="00086528" w:rsidRPr="001D6EB2" w:rsidRDefault="00086528" w:rsidP="00E740F4">
            <w:pPr>
              <w:jc w:val="center"/>
              <w:rPr>
                <w:rFonts w:ascii="Calibri" w:hAnsi="Calibri" w:cs="Arial"/>
              </w:rPr>
            </w:pPr>
            <w:r w:rsidRPr="001D6EB2">
              <w:rPr>
                <w:rFonts w:ascii="Calibri" w:hAnsi="Calibri" w:cs="Arial"/>
              </w:rPr>
              <w:t>25</w:t>
            </w:r>
          </w:p>
          <w:p w:rsidR="00086528" w:rsidRPr="001D6EB2" w:rsidRDefault="00086528" w:rsidP="00E740F4">
            <w:pPr>
              <w:jc w:val="center"/>
              <w:rPr>
                <w:rFonts w:ascii="Calibri" w:hAnsi="Calibri" w:cs="Arial"/>
              </w:rPr>
            </w:pPr>
            <w:r w:rsidRPr="001D6EB2">
              <w:rPr>
                <w:rFonts w:ascii="Calibri" w:hAnsi="Calibri" w:cs="Arial"/>
              </w:rPr>
              <w:t>386,34</w:t>
            </w:r>
          </w:p>
        </w:tc>
      </w:tr>
    </w:tbl>
    <w:p w:rsidR="008929E7" w:rsidRDefault="008929E7"/>
    <w:sectPr w:rsidR="008929E7" w:rsidSect="000865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86528"/>
    <w:rsid w:val="00086528"/>
    <w:rsid w:val="005A0ECB"/>
    <w:rsid w:val="00720F47"/>
    <w:rsid w:val="008929E7"/>
    <w:rsid w:val="00F21D2E"/>
    <w:rsid w:val="00F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28"/>
    <w:pPr>
      <w:spacing w:after="0" w:line="240" w:lineRule="auto"/>
    </w:pPr>
    <w:rPr>
      <w:rFonts w:ascii="Times New Roman" w:eastAsia="Times New Roman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aracter Caracter Caracter, Caracter Caracter,Caracter Caracter Caracter"/>
    <w:basedOn w:val="Normal"/>
    <w:link w:val="FooterChar"/>
    <w:uiPriority w:val="99"/>
    <w:qFormat/>
    <w:rsid w:val="00086528"/>
    <w:pPr>
      <w:tabs>
        <w:tab w:val="center" w:pos="4153"/>
        <w:tab w:val="right" w:pos="8306"/>
      </w:tabs>
      <w:jc w:val="both"/>
    </w:pPr>
    <w:rPr>
      <w:rFonts w:ascii="Arial" w:hAnsi="Arial"/>
      <w:bCs w:val="0"/>
      <w:sz w:val="24"/>
      <w:szCs w:val="20"/>
      <w:lang w:val="ro-RO"/>
    </w:rPr>
  </w:style>
  <w:style w:type="character" w:customStyle="1" w:styleId="FooterChar">
    <w:name w:val="Footer Char"/>
    <w:aliases w:val=" Caracter Caracter Caracter Char, Caracter Caracter Char,Caracter Caracter Caracter Char"/>
    <w:basedOn w:val="DefaultParagraphFont"/>
    <w:link w:val="Footer"/>
    <w:uiPriority w:val="99"/>
    <w:rsid w:val="00086528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Tigan</dc:creator>
  <cp:lastModifiedBy>petri.csilla</cp:lastModifiedBy>
  <cp:revision>2</cp:revision>
  <cp:lastPrinted>2015-02-11T06:08:00Z</cp:lastPrinted>
  <dcterms:created xsi:type="dcterms:W3CDTF">2015-02-11T12:28:00Z</dcterms:created>
  <dcterms:modified xsi:type="dcterms:W3CDTF">2015-02-11T12:28:00Z</dcterms:modified>
</cp:coreProperties>
</file>