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01" w:rsidRPr="003B5440" w:rsidRDefault="001D0101" w:rsidP="001D0101">
      <w:pPr>
        <w:shd w:val="clear" w:color="auto" w:fill="EEECE1" w:themeFill="background2"/>
        <w:ind w:right="-142"/>
        <w:jc w:val="center"/>
        <w:rPr>
          <w:rFonts w:ascii="Arial" w:hAnsi="Arial" w:cs="Arial"/>
          <w:b/>
          <w:sz w:val="36"/>
          <w:szCs w:val="36"/>
        </w:rPr>
      </w:pPr>
      <w:r w:rsidRPr="003B5440">
        <w:rPr>
          <w:rFonts w:ascii="Arial" w:hAnsi="Arial" w:cs="Arial"/>
          <w:b/>
          <w:color w:val="000000" w:themeColor="text1"/>
          <w:sz w:val="36"/>
          <w:szCs w:val="36"/>
        </w:rPr>
        <w:t>Studiu de solutie pentru reorganizarea traficului in zona Pietei Emanoil Gojdu</w:t>
      </w:r>
    </w:p>
    <w:p w:rsidR="00816B35" w:rsidRPr="003B5440" w:rsidRDefault="00816B35">
      <w:pPr>
        <w:rPr>
          <w:rFonts w:ascii="Arial" w:hAnsi="Arial" w:cs="Arial"/>
          <w:b/>
          <w:sz w:val="2"/>
          <w:szCs w:val="2"/>
        </w:rPr>
      </w:pPr>
    </w:p>
    <w:p w:rsidR="006162E1" w:rsidRPr="00626CE9" w:rsidRDefault="006162E1">
      <w:pPr>
        <w:rPr>
          <w:rFonts w:ascii="Arial" w:hAnsi="Arial" w:cs="Arial"/>
        </w:rPr>
      </w:pPr>
      <w:r w:rsidRPr="00626CE9">
        <w:rPr>
          <w:rFonts w:ascii="Arial" w:hAnsi="Arial" w:cs="Arial"/>
          <w:b/>
        </w:rPr>
        <w:t>Intocmit de:</w:t>
      </w:r>
      <w:r w:rsidRPr="00626CE9">
        <w:rPr>
          <w:rFonts w:ascii="Arial" w:hAnsi="Arial" w:cs="Arial"/>
        </w:rPr>
        <w:t xml:space="preserve"> </w:t>
      </w:r>
      <w:r w:rsidR="00816B35" w:rsidRPr="00626CE9">
        <w:rPr>
          <w:rFonts w:ascii="Arial" w:hAnsi="Arial" w:cs="Arial"/>
        </w:rPr>
        <w:t xml:space="preserve">     </w:t>
      </w:r>
      <w:r w:rsidRPr="00626CE9">
        <w:rPr>
          <w:rFonts w:ascii="Arial" w:hAnsi="Arial" w:cs="Arial"/>
        </w:rPr>
        <w:t xml:space="preserve">SC EGIS International </w:t>
      </w:r>
      <w:r w:rsidR="00BD5678" w:rsidRPr="00626CE9">
        <w:rPr>
          <w:rFonts w:ascii="Arial" w:hAnsi="Arial" w:cs="Arial"/>
        </w:rPr>
        <w:t>SA Franta sucursala Bucuresti</w:t>
      </w:r>
      <w:r w:rsidR="00FE78E8">
        <w:rPr>
          <w:rFonts w:ascii="Arial" w:hAnsi="Arial" w:cs="Arial"/>
        </w:rPr>
        <w:t>, perioada aprilie – iunie 2015</w:t>
      </w:r>
    </w:p>
    <w:p w:rsidR="00EC7692" w:rsidRPr="00626CE9" w:rsidRDefault="00EC7692" w:rsidP="00BD5678">
      <w:pPr>
        <w:pStyle w:val="StyleSwis721ExBT10ptNoirAvant6pt"/>
        <w:rPr>
          <w:rFonts w:ascii="Arial" w:hAnsi="Arial" w:cs="Arial"/>
          <w:sz w:val="22"/>
          <w:szCs w:val="22"/>
        </w:rPr>
      </w:pPr>
      <w:r w:rsidRPr="00626CE9">
        <w:rPr>
          <w:rFonts w:ascii="Arial" w:hAnsi="Arial" w:cs="Arial"/>
          <w:b/>
          <w:sz w:val="22"/>
          <w:szCs w:val="22"/>
        </w:rPr>
        <w:t xml:space="preserve">Scop: </w:t>
      </w:r>
      <w:r w:rsidR="00816B35" w:rsidRPr="00626CE9">
        <w:rPr>
          <w:rFonts w:ascii="Arial" w:hAnsi="Arial" w:cs="Arial"/>
          <w:b/>
          <w:sz w:val="22"/>
          <w:szCs w:val="22"/>
        </w:rPr>
        <w:t xml:space="preserve">     </w:t>
      </w:r>
      <w:r w:rsidRPr="00626CE9">
        <w:rPr>
          <w:rFonts w:ascii="Arial" w:hAnsi="Arial" w:cs="Arial"/>
          <w:sz w:val="22"/>
          <w:szCs w:val="22"/>
        </w:rPr>
        <w:t xml:space="preserve">analiza conceptuala  este menita sa propuna solutii care sa raspunda obiectivelor </w:t>
      </w:r>
      <w:r w:rsidR="00A823D4">
        <w:rPr>
          <w:rFonts w:ascii="Arial" w:hAnsi="Arial" w:cs="Arial"/>
          <w:sz w:val="22"/>
          <w:szCs w:val="22"/>
        </w:rPr>
        <w:t>identificate</w:t>
      </w:r>
    </w:p>
    <w:p w:rsidR="00BD5678" w:rsidRPr="00626CE9" w:rsidRDefault="00BD5678" w:rsidP="00BD5678">
      <w:pPr>
        <w:pStyle w:val="StyleSwis721ExBT10ptNoirAvant6pt"/>
        <w:rPr>
          <w:rFonts w:ascii="Arial" w:hAnsi="Arial" w:cs="Arial"/>
          <w:sz w:val="22"/>
          <w:szCs w:val="22"/>
        </w:rPr>
      </w:pPr>
      <w:r w:rsidRPr="00626CE9">
        <w:rPr>
          <w:rFonts w:ascii="Arial" w:hAnsi="Arial" w:cs="Arial"/>
          <w:sz w:val="22"/>
          <w:szCs w:val="22"/>
        </w:rPr>
        <w:t xml:space="preserve">                se pozitioneaza anterior unui </w:t>
      </w:r>
      <w:r w:rsidR="00A823D4">
        <w:rPr>
          <w:rFonts w:ascii="Arial" w:hAnsi="Arial" w:cs="Arial"/>
          <w:sz w:val="22"/>
          <w:szCs w:val="22"/>
        </w:rPr>
        <w:t>s</w:t>
      </w:r>
      <w:r w:rsidRPr="00626CE9">
        <w:rPr>
          <w:rFonts w:ascii="Arial" w:hAnsi="Arial" w:cs="Arial"/>
          <w:sz w:val="22"/>
          <w:szCs w:val="22"/>
        </w:rPr>
        <w:t xml:space="preserve">tudiu de </w:t>
      </w:r>
      <w:r w:rsidR="00A823D4">
        <w:rPr>
          <w:rFonts w:ascii="Arial" w:hAnsi="Arial" w:cs="Arial"/>
          <w:sz w:val="22"/>
          <w:szCs w:val="22"/>
        </w:rPr>
        <w:t>f</w:t>
      </w:r>
      <w:r w:rsidRPr="00626CE9">
        <w:rPr>
          <w:rFonts w:ascii="Arial" w:hAnsi="Arial" w:cs="Arial"/>
          <w:sz w:val="22"/>
          <w:szCs w:val="22"/>
        </w:rPr>
        <w:t>ezabilitate</w:t>
      </w:r>
    </w:p>
    <w:p w:rsidR="006F4C75" w:rsidRPr="00626CE9" w:rsidRDefault="006F4C75" w:rsidP="00BD5678">
      <w:pPr>
        <w:pStyle w:val="StyleSwis721ExBT10ptNoirAvant6pt"/>
        <w:rPr>
          <w:rFonts w:ascii="Arial" w:hAnsi="Arial" w:cs="Arial"/>
          <w:b/>
          <w:sz w:val="22"/>
          <w:szCs w:val="22"/>
        </w:rPr>
      </w:pPr>
      <w:r w:rsidRPr="00626CE9">
        <w:rPr>
          <w:rFonts w:ascii="Arial" w:hAnsi="Arial" w:cs="Arial"/>
          <w:b/>
          <w:sz w:val="22"/>
          <w:szCs w:val="22"/>
        </w:rPr>
        <w:t>Ob</w:t>
      </w:r>
      <w:r w:rsidR="000C2866" w:rsidRPr="00626CE9">
        <w:rPr>
          <w:rFonts w:ascii="Arial" w:hAnsi="Arial" w:cs="Arial"/>
          <w:b/>
          <w:sz w:val="22"/>
          <w:szCs w:val="22"/>
        </w:rPr>
        <w:t>iective</w:t>
      </w:r>
      <w:r w:rsidRPr="00626CE9">
        <w:rPr>
          <w:rFonts w:ascii="Arial" w:hAnsi="Arial" w:cs="Arial"/>
          <w:b/>
          <w:sz w:val="22"/>
          <w:szCs w:val="22"/>
        </w:rPr>
        <w:t>:</w:t>
      </w:r>
    </w:p>
    <w:p w:rsidR="004C6E5F" w:rsidRPr="00626CE9" w:rsidRDefault="004C6E5F" w:rsidP="006F4C75">
      <w:pPr>
        <w:pStyle w:val="StylenumrationSwis721ExBT"/>
        <w:rPr>
          <w:rFonts w:ascii="Arial" w:hAnsi="Arial" w:cs="Arial"/>
          <w:sz w:val="22"/>
          <w:szCs w:val="22"/>
        </w:rPr>
      </w:pPr>
      <w:r w:rsidRPr="00626CE9">
        <w:rPr>
          <w:rFonts w:ascii="Arial" w:hAnsi="Arial" w:cs="Arial"/>
          <w:sz w:val="22"/>
          <w:szCs w:val="22"/>
        </w:rPr>
        <w:t>ameliorar</w:t>
      </w:r>
      <w:r w:rsidR="00955AE6">
        <w:rPr>
          <w:rFonts w:ascii="Arial" w:hAnsi="Arial" w:cs="Arial"/>
          <w:sz w:val="22"/>
          <w:szCs w:val="22"/>
        </w:rPr>
        <w:t>ea</w:t>
      </w:r>
      <w:r w:rsidRPr="00626CE9">
        <w:rPr>
          <w:rFonts w:ascii="Arial" w:hAnsi="Arial" w:cs="Arial"/>
          <w:sz w:val="22"/>
          <w:szCs w:val="22"/>
        </w:rPr>
        <w:t xml:space="preserve"> conditiilor de circulatie si valorificarea patrimoniului cultural si istoric</w:t>
      </w:r>
    </w:p>
    <w:p w:rsidR="006F4C75" w:rsidRPr="00626CE9" w:rsidRDefault="006F4C75" w:rsidP="006F4C75">
      <w:pPr>
        <w:pStyle w:val="StylenumrationSwis721ExBT"/>
        <w:rPr>
          <w:rFonts w:ascii="Arial" w:hAnsi="Arial" w:cs="Arial"/>
          <w:sz w:val="22"/>
          <w:szCs w:val="22"/>
        </w:rPr>
      </w:pPr>
      <w:r w:rsidRPr="00626CE9">
        <w:rPr>
          <w:rFonts w:ascii="Arial" w:hAnsi="Arial" w:cs="Arial"/>
          <w:sz w:val="22"/>
          <w:szCs w:val="22"/>
        </w:rPr>
        <w:t>imbunatatir</w:t>
      </w:r>
      <w:r w:rsidR="00A857B1" w:rsidRPr="00626CE9">
        <w:rPr>
          <w:rFonts w:ascii="Arial" w:hAnsi="Arial" w:cs="Arial"/>
          <w:sz w:val="22"/>
          <w:szCs w:val="22"/>
        </w:rPr>
        <w:t>ea conditiilor de circu</w:t>
      </w:r>
      <w:r w:rsidR="005962F1" w:rsidRPr="00626CE9">
        <w:rPr>
          <w:rFonts w:ascii="Arial" w:hAnsi="Arial" w:cs="Arial"/>
          <w:sz w:val="22"/>
          <w:szCs w:val="22"/>
        </w:rPr>
        <w:t>latie in zona Pietei Gojdu</w:t>
      </w:r>
      <w:r w:rsidRPr="00626CE9">
        <w:rPr>
          <w:rFonts w:ascii="Arial" w:hAnsi="Arial" w:cs="Arial"/>
          <w:sz w:val="22"/>
          <w:szCs w:val="22"/>
        </w:rPr>
        <w:t>,</w:t>
      </w:r>
      <w:r w:rsidR="00A857B1" w:rsidRPr="00626CE9">
        <w:rPr>
          <w:rFonts w:ascii="Arial" w:hAnsi="Arial" w:cs="Arial"/>
          <w:sz w:val="22"/>
          <w:szCs w:val="22"/>
        </w:rPr>
        <w:t xml:space="preserve"> pe axa nord-sud, est-vest</w:t>
      </w:r>
    </w:p>
    <w:p w:rsidR="006F4C75" w:rsidRPr="00626CE9" w:rsidRDefault="006F4C75" w:rsidP="006F4C75">
      <w:pPr>
        <w:pStyle w:val="StylenumrationSwis721ExBT"/>
        <w:rPr>
          <w:rFonts w:ascii="Arial" w:hAnsi="Arial" w:cs="Arial"/>
          <w:sz w:val="22"/>
          <w:szCs w:val="22"/>
        </w:rPr>
      </w:pPr>
      <w:r w:rsidRPr="00626CE9">
        <w:rPr>
          <w:rFonts w:ascii="Arial" w:hAnsi="Arial" w:cs="Arial"/>
          <w:sz w:val="22"/>
          <w:szCs w:val="22"/>
        </w:rPr>
        <w:t>trecerea i</w:t>
      </w:r>
      <w:r w:rsidR="00120AA7" w:rsidRPr="00626CE9">
        <w:rPr>
          <w:rFonts w:ascii="Arial" w:hAnsi="Arial" w:cs="Arial"/>
          <w:sz w:val="22"/>
          <w:szCs w:val="22"/>
        </w:rPr>
        <w:t>n subteran a traficului rutier in Piata Cetatii (B</w:t>
      </w:r>
      <w:r w:rsidRPr="00626CE9">
        <w:rPr>
          <w:rFonts w:ascii="Arial" w:hAnsi="Arial" w:cs="Arial"/>
          <w:sz w:val="22"/>
          <w:szCs w:val="22"/>
        </w:rPr>
        <w:t xml:space="preserve">d. Dimitrie Cantemir) </w:t>
      </w:r>
      <w:r w:rsidR="00120AA7" w:rsidRPr="00626CE9">
        <w:rPr>
          <w:rFonts w:ascii="Arial" w:hAnsi="Arial" w:cs="Arial"/>
          <w:sz w:val="22"/>
          <w:szCs w:val="22"/>
        </w:rPr>
        <w:t xml:space="preserve">si Piata Gojdu </w:t>
      </w:r>
      <w:r w:rsidRPr="00626CE9">
        <w:rPr>
          <w:rFonts w:ascii="Arial" w:hAnsi="Arial" w:cs="Arial"/>
          <w:sz w:val="22"/>
          <w:szCs w:val="22"/>
        </w:rPr>
        <w:t>intre Parcul 1 Decembrie si Catedrala Episcopala pentru asigurarea continuitatii amenaj</w:t>
      </w:r>
      <w:r w:rsidR="00120AA7" w:rsidRPr="00626CE9">
        <w:rPr>
          <w:rFonts w:ascii="Arial" w:hAnsi="Arial" w:cs="Arial"/>
          <w:sz w:val="22"/>
          <w:szCs w:val="22"/>
        </w:rPr>
        <w:t>arii parcului si a unui spatiu destinat</w:t>
      </w:r>
      <w:r w:rsidR="000F0CE0" w:rsidRPr="00626CE9">
        <w:rPr>
          <w:rFonts w:ascii="Arial" w:hAnsi="Arial" w:cs="Arial"/>
          <w:sz w:val="22"/>
          <w:szCs w:val="22"/>
        </w:rPr>
        <w:t xml:space="preserve"> pietonilor</w:t>
      </w:r>
    </w:p>
    <w:p w:rsidR="006F4C75" w:rsidRPr="00626CE9" w:rsidRDefault="006F4C75" w:rsidP="006F4C75">
      <w:pPr>
        <w:pStyle w:val="StylenumrationSwis721ExBT"/>
        <w:rPr>
          <w:rFonts w:ascii="Arial" w:hAnsi="Arial" w:cs="Arial"/>
          <w:sz w:val="22"/>
          <w:szCs w:val="22"/>
        </w:rPr>
      </w:pPr>
      <w:r w:rsidRPr="00626CE9">
        <w:rPr>
          <w:rFonts w:ascii="Arial" w:hAnsi="Arial" w:cs="Arial"/>
          <w:sz w:val="22"/>
          <w:szCs w:val="22"/>
        </w:rPr>
        <w:t>amenajarea unor spatii de parcare subterane, in vecinatatea Parcului 1 Decem</w:t>
      </w:r>
      <w:r w:rsidR="000F0CE0" w:rsidRPr="00626CE9">
        <w:rPr>
          <w:rFonts w:ascii="Arial" w:hAnsi="Arial" w:cs="Arial"/>
          <w:sz w:val="22"/>
          <w:szCs w:val="22"/>
        </w:rPr>
        <w:t>brie si a Catedralei Episcopale</w:t>
      </w:r>
    </w:p>
    <w:p w:rsidR="006F4C75" w:rsidRPr="00626CE9" w:rsidRDefault="006F4C75">
      <w:pPr>
        <w:rPr>
          <w:rFonts w:ascii="Arial" w:hAnsi="Arial" w:cs="Arial"/>
        </w:rPr>
      </w:pPr>
    </w:p>
    <w:p w:rsidR="006162E1" w:rsidRPr="00626CE9" w:rsidRDefault="00BD5678">
      <w:pPr>
        <w:rPr>
          <w:rFonts w:ascii="Arial" w:hAnsi="Arial" w:cs="Arial"/>
          <w:b/>
        </w:rPr>
      </w:pPr>
      <w:r w:rsidRPr="00626CE9">
        <w:rPr>
          <w:rFonts w:ascii="Arial" w:hAnsi="Arial" w:cs="Arial"/>
          <w:b/>
        </w:rPr>
        <w:t>Volume de trafic</w:t>
      </w:r>
    </w:p>
    <w:p w:rsidR="00BD5678" w:rsidRPr="00626CE9" w:rsidRDefault="00BD5678" w:rsidP="00626CE9">
      <w:pPr>
        <w:jc w:val="center"/>
        <w:rPr>
          <w:rFonts w:ascii="Arial" w:hAnsi="Arial" w:cs="Arial"/>
        </w:rPr>
      </w:pPr>
      <w:r w:rsidRPr="00626CE9">
        <w:rPr>
          <w:rFonts w:ascii="Arial" w:hAnsi="Arial" w:cs="Arial"/>
          <w:noProof/>
          <w:lang w:val="ro-RO" w:eastAsia="ro-RO"/>
        </w:rPr>
        <w:drawing>
          <wp:inline distT="0" distB="0" distL="0" distR="0">
            <wp:extent cx="6210300" cy="3324225"/>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ic Oradea hdp 2025.jpg"/>
                    <pic:cNvPicPr/>
                  </pic:nvPicPr>
                  <pic:blipFill rotWithShape="1">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6221455" cy="33301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E78E8" w:rsidRDefault="00FE78E8">
      <w:pPr>
        <w:rPr>
          <w:rFonts w:ascii="Arial" w:hAnsi="Arial" w:cs="Arial"/>
          <w:b/>
        </w:rPr>
      </w:pPr>
    </w:p>
    <w:p w:rsidR="00147234" w:rsidRPr="00626CE9" w:rsidRDefault="00147234">
      <w:pPr>
        <w:rPr>
          <w:rFonts w:ascii="Arial" w:hAnsi="Arial" w:cs="Arial"/>
        </w:rPr>
      </w:pPr>
      <w:r w:rsidRPr="00626CE9">
        <w:rPr>
          <w:rFonts w:ascii="Arial" w:hAnsi="Arial" w:cs="Arial"/>
          <w:b/>
        </w:rPr>
        <w:t>Solutii propuse</w:t>
      </w:r>
      <w:r w:rsidRPr="00626CE9">
        <w:rPr>
          <w:rFonts w:ascii="Arial" w:hAnsi="Arial" w:cs="Arial"/>
        </w:rPr>
        <w:t>: planse</w:t>
      </w:r>
    </w:p>
    <w:p w:rsidR="00147234" w:rsidRPr="00626CE9" w:rsidRDefault="00147234">
      <w:pPr>
        <w:rPr>
          <w:rFonts w:ascii="Arial" w:hAnsi="Arial" w:cs="Arial"/>
          <w:b/>
        </w:rPr>
      </w:pPr>
      <w:r w:rsidRPr="00626CE9">
        <w:rPr>
          <w:rFonts w:ascii="Arial" w:hAnsi="Arial" w:cs="Arial"/>
          <w:b/>
        </w:rPr>
        <w:t>Detalii</w:t>
      </w:r>
      <w:r w:rsidR="00AD07D2">
        <w:rPr>
          <w:rFonts w:ascii="Arial" w:hAnsi="Arial" w:cs="Arial"/>
          <w:b/>
        </w:rPr>
        <w:t xml:space="preserve"> variant</w:t>
      </w:r>
      <w:r w:rsidR="00041A52">
        <w:rPr>
          <w:rFonts w:ascii="Arial" w:hAnsi="Arial" w:cs="Arial"/>
          <w:b/>
        </w:rPr>
        <w:t>a</w:t>
      </w:r>
      <w:r w:rsidR="00AD07D2">
        <w:rPr>
          <w:rFonts w:ascii="Arial" w:hAnsi="Arial" w:cs="Arial"/>
          <w:b/>
        </w:rPr>
        <w:t xml:space="preserve"> A1</w:t>
      </w:r>
      <w:r w:rsidRPr="00626CE9">
        <w:rPr>
          <w:rFonts w:ascii="Arial" w:hAnsi="Arial" w:cs="Arial"/>
          <w:b/>
        </w:rPr>
        <w:t>:</w:t>
      </w:r>
    </w:p>
    <w:p w:rsidR="00147234" w:rsidRPr="00626CE9" w:rsidRDefault="00147234" w:rsidP="00147234">
      <w:pPr>
        <w:pStyle w:val="BodyText"/>
        <w:numPr>
          <w:ilvl w:val="0"/>
          <w:numId w:val="4"/>
        </w:numPr>
        <w:rPr>
          <w:rFonts w:ascii="Arial" w:hAnsi="Arial" w:cs="Arial"/>
          <w:b/>
          <w:sz w:val="22"/>
          <w:szCs w:val="22"/>
        </w:rPr>
      </w:pPr>
      <w:r w:rsidRPr="00626CE9">
        <w:rPr>
          <w:rFonts w:ascii="Arial" w:hAnsi="Arial" w:cs="Arial"/>
          <w:b/>
          <w:sz w:val="22"/>
          <w:szCs w:val="22"/>
        </w:rPr>
        <w:t>Pasaj subteran Piata Cetatii</w:t>
      </w:r>
    </w:p>
    <w:p w:rsidR="00FF61C2" w:rsidRPr="00626CE9" w:rsidRDefault="00FF61C2" w:rsidP="00FF61C2">
      <w:pPr>
        <w:pStyle w:val="BodyText"/>
        <w:ind w:left="720"/>
        <w:rPr>
          <w:rFonts w:ascii="Arial" w:hAnsi="Arial" w:cs="Arial"/>
          <w:sz w:val="22"/>
          <w:szCs w:val="22"/>
        </w:rPr>
      </w:pPr>
      <w:r w:rsidRPr="00626CE9">
        <w:rPr>
          <w:rFonts w:ascii="Arial" w:hAnsi="Arial" w:cs="Arial"/>
          <w:sz w:val="22"/>
          <w:szCs w:val="22"/>
        </w:rPr>
        <w:t>Gabaritul vertical al pasajului subteran este fixat la 2,50m, cu scopul reducerii lungimii rampelor de acces si de a favoriza schimburile directionale importante intre Bd. Dimitrie Cantemir si strazile adiacente de la suprafata. Latimea de banda standard este de minim 3,0m. Acest gabarit standard permite trecerea autoturismelor, a furgonetelor, a vehiculelor 4x4, a SUV-urilor si pick-upurilor, precum si a majoritatii dubitelor si rulotelor.Nu permite trecerea autocarelor, a autobuzelor orasenesti sau a caravanelor. Autobuzele orasenesti au nevoie de statii la suprafata in zona Pietei Cetatii.</w:t>
      </w:r>
    </w:p>
    <w:p w:rsidR="00FF61C2" w:rsidRPr="00626CE9" w:rsidRDefault="00FF61C2" w:rsidP="00147234">
      <w:pPr>
        <w:pStyle w:val="BodyText"/>
        <w:numPr>
          <w:ilvl w:val="0"/>
          <w:numId w:val="4"/>
        </w:numPr>
        <w:rPr>
          <w:rFonts w:ascii="Arial" w:hAnsi="Arial" w:cs="Arial"/>
          <w:b/>
          <w:sz w:val="22"/>
          <w:szCs w:val="22"/>
        </w:rPr>
      </w:pPr>
      <w:r w:rsidRPr="00626CE9">
        <w:rPr>
          <w:rFonts w:ascii="Arial" w:hAnsi="Arial" w:cs="Arial"/>
          <w:b/>
          <w:sz w:val="22"/>
          <w:szCs w:val="22"/>
        </w:rPr>
        <w:t>Pasaj subteran Piata Gojdu</w:t>
      </w:r>
    </w:p>
    <w:p w:rsidR="0098433C" w:rsidRPr="00626CE9" w:rsidRDefault="003B0A14" w:rsidP="0098433C">
      <w:pPr>
        <w:pStyle w:val="BodyText"/>
        <w:ind w:left="720"/>
        <w:rPr>
          <w:rFonts w:ascii="Arial" w:hAnsi="Arial" w:cs="Arial"/>
          <w:sz w:val="22"/>
          <w:szCs w:val="22"/>
        </w:rPr>
      </w:pPr>
      <w:r w:rsidRPr="00626CE9">
        <w:rPr>
          <w:rFonts w:ascii="Arial" w:hAnsi="Arial" w:cs="Arial"/>
          <w:sz w:val="22"/>
          <w:szCs w:val="22"/>
        </w:rPr>
        <w:t xml:space="preserve">Prin realizarea pasajului subteran se are in vedere </w:t>
      </w:r>
      <w:r w:rsidR="0098433C" w:rsidRPr="00626CE9">
        <w:rPr>
          <w:rFonts w:ascii="Arial" w:hAnsi="Arial" w:cs="Arial"/>
          <w:sz w:val="22"/>
          <w:szCs w:val="22"/>
        </w:rPr>
        <w:t>asigurarea unei veritabile continuitati peisagistic</w:t>
      </w:r>
      <w:r w:rsidR="00955AE6">
        <w:rPr>
          <w:rFonts w:ascii="Arial" w:hAnsi="Arial" w:cs="Arial"/>
          <w:sz w:val="22"/>
          <w:szCs w:val="22"/>
        </w:rPr>
        <w:t>e</w:t>
      </w:r>
      <w:r w:rsidR="0098433C" w:rsidRPr="00626CE9">
        <w:rPr>
          <w:rFonts w:ascii="Arial" w:hAnsi="Arial" w:cs="Arial"/>
          <w:sz w:val="22"/>
          <w:szCs w:val="22"/>
        </w:rPr>
        <w:t xml:space="preserve"> dinspre Parc pana la Cetate, ingloband si Catedrala</w:t>
      </w:r>
      <w:r w:rsidRPr="00626CE9">
        <w:rPr>
          <w:rFonts w:ascii="Arial" w:hAnsi="Arial" w:cs="Arial"/>
          <w:sz w:val="22"/>
          <w:szCs w:val="22"/>
        </w:rPr>
        <w:t>.</w:t>
      </w:r>
    </w:p>
    <w:p w:rsidR="00FF61C2" w:rsidRPr="00626CE9" w:rsidRDefault="003B0A14" w:rsidP="00347B70">
      <w:pPr>
        <w:pStyle w:val="BodyText"/>
        <w:ind w:left="720"/>
        <w:rPr>
          <w:rFonts w:ascii="Arial" w:hAnsi="Arial" w:cs="Arial"/>
          <w:sz w:val="22"/>
          <w:szCs w:val="22"/>
        </w:rPr>
      </w:pPr>
      <w:r w:rsidRPr="00626CE9">
        <w:rPr>
          <w:rFonts w:ascii="Arial" w:hAnsi="Arial" w:cs="Arial"/>
          <w:sz w:val="22"/>
          <w:szCs w:val="22"/>
        </w:rPr>
        <w:t>Se propune retinerea unui gabarit de 3,50m, inaltime libera. Acest gabarit este identic cu cel al pasajului subteran Unirii din Bucuresti (lungime totala 900m din care 600m acoperiti). Este vorba de un «gabarit urban standard» in numeroase tari. El permite trecerea autobuzelor urbane (inaltime mai mica de 3,20m), a majoritatii autocarelor (inaltime cuprinsa intre 3,20m si 3,50m). Nu permite trecerea camioanelor si a autocarelor «grand tourisme» (inaltime de 4,00m). Permite de asemenea trecerea tuturor vehiculelor de interventie si securitate, la fel ca si a vehiculelor destinate stingerii incendiilor (inaltime maxima de 3,30m in pozitie de mers).</w:t>
      </w:r>
    </w:p>
    <w:p w:rsidR="00FF61C2" w:rsidRPr="00626CE9" w:rsidRDefault="00FF61C2" w:rsidP="00147234">
      <w:pPr>
        <w:pStyle w:val="BodyText"/>
        <w:numPr>
          <w:ilvl w:val="0"/>
          <w:numId w:val="4"/>
        </w:numPr>
        <w:rPr>
          <w:rFonts w:ascii="Arial" w:hAnsi="Arial" w:cs="Arial"/>
          <w:b/>
          <w:sz w:val="22"/>
          <w:szCs w:val="22"/>
        </w:rPr>
      </w:pPr>
      <w:r w:rsidRPr="00626CE9">
        <w:rPr>
          <w:rFonts w:ascii="Arial" w:hAnsi="Arial" w:cs="Arial"/>
          <w:b/>
          <w:sz w:val="22"/>
          <w:szCs w:val="22"/>
        </w:rPr>
        <w:t>Pasaj subteran giratie</w:t>
      </w:r>
    </w:p>
    <w:p w:rsidR="00AF1954" w:rsidRPr="00626CE9" w:rsidRDefault="00AF1954" w:rsidP="00AF1954">
      <w:pPr>
        <w:pStyle w:val="StyleSwis721ExBT10ptNoirAvant6pt"/>
        <w:ind w:left="720"/>
        <w:rPr>
          <w:rFonts w:ascii="Arial" w:hAnsi="Arial" w:cs="Arial"/>
          <w:sz w:val="22"/>
          <w:szCs w:val="22"/>
        </w:rPr>
      </w:pPr>
      <w:r w:rsidRPr="00626CE9">
        <w:rPr>
          <w:rFonts w:ascii="Arial" w:hAnsi="Arial" w:cs="Arial"/>
          <w:sz w:val="22"/>
          <w:szCs w:val="22"/>
        </w:rPr>
        <w:t>Aceasta imbunatatire necesita intersectia denivelata a anumitor cai de circulatie pentru suprimarea situatiilor critice, si anume :</w:t>
      </w:r>
    </w:p>
    <w:p w:rsidR="00AF1954" w:rsidRPr="00626CE9" w:rsidRDefault="00AF1954" w:rsidP="00AF1954">
      <w:pPr>
        <w:pStyle w:val="StylenumrationSwis721ExBT"/>
        <w:tabs>
          <w:tab w:val="clear" w:pos="725"/>
          <w:tab w:val="num" w:pos="1440"/>
        </w:tabs>
        <w:ind w:left="1080"/>
        <w:rPr>
          <w:rFonts w:ascii="Arial" w:hAnsi="Arial" w:cs="Arial"/>
          <w:sz w:val="22"/>
          <w:szCs w:val="22"/>
        </w:rPr>
      </w:pPr>
      <w:r w:rsidRPr="00626CE9">
        <w:rPr>
          <w:rFonts w:ascii="Arial" w:hAnsi="Arial" w:cs="Arial"/>
          <w:sz w:val="22"/>
          <w:szCs w:val="22"/>
        </w:rPr>
        <w:t>intersectia dintre axa sud (Nufarul) – nord (Magheru) si est (DN1) - vest (centrul-orasului)</w:t>
      </w:r>
    </w:p>
    <w:p w:rsidR="00AF1954" w:rsidRPr="00626CE9" w:rsidRDefault="00AF1954" w:rsidP="00AF1954">
      <w:pPr>
        <w:pStyle w:val="StylenumrationSwis721ExBT"/>
        <w:tabs>
          <w:tab w:val="clear" w:pos="725"/>
          <w:tab w:val="num" w:pos="1440"/>
        </w:tabs>
        <w:ind w:left="1080"/>
        <w:rPr>
          <w:rFonts w:ascii="Arial" w:hAnsi="Arial" w:cs="Arial"/>
          <w:sz w:val="22"/>
          <w:szCs w:val="22"/>
        </w:rPr>
      </w:pPr>
      <w:r w:rsidRPr="00626CE9">
        <w:rPr>
          <w:rFonts w:ascii="Arial" w:hAnsi="Arial" w:cs="Arial"/>
          <w:sz w:val="22"/>
          <w:szCs w:val="22"/>
        </w:rPr>
        <w:t xml:space="preserve">intersectia liniilor de tramvai cu traficul rutier Sud / Nord si Nord / Sud </w:t>
      </w:r>
    </w:p>
    <w:p w:rsidR="00AF1954" w:rsidRPr="00626CE9" w:rsidRDefault="00AF1954" w:rsidP="00AF1954">
      <w:pPr>
        <w:pStyle w:val="BodyText"/>
        <w:ind w:left="720"/>
        <w:rPr>
          <w:rFonts w:ascii="Arial" w:hAnsi="Arial" w:cs="Arial"/>
          <w:sz w:val="22"/>
          <w:szCs w:val="22"/>
        </w:rPr>
      </w:pPr>
      <w:r w:rsidRPr="00626CE9">
        <w:rPr>
          <w:rFonts w:ascii="Arial" w:hAnsi="Arial" w:cs="Arial"/>
          <w:sz w:val="22"/>
          <w:szCs w:val="22"/>
          <w:lang w:val="en-US"/>
        </w:rPr>
        <w:t xml:space="preserve">Itinerarul Calea Maresal Averescu inspre Str. </w:t>
      </w:r>
      <w:r w:rsidRPr="00626CE9">
        <w:rPr>
          <w:rFonts w:ascii="Arial" w:hAnsi="Arial" w:cs="Arial"/>
          <w:sz w:val="22"/>
          <w:szCs w:val="22"/>
        </w:rPr>
        <w:t>Independentei este folosit de mai multe linii de autobuze urbane. Gabaritul vertical este de 3,50m.</w:t>
      </w:r>
    </w:p>
    <w:p w:rsidR="00AF1954" w:rsidRPr="00626CE9" w:rsidRDefault="00AF1954" w:rsidP="00147234">
      <w:pPr>
        <w:pStyle w:val="BodyText"/>
        <w:numPr>
          <w:ilvl w:val="0"/>
          <w:numId w:val="4"/>
        </w:numPr>
        <w:rPr>
          <w:rFonts w:ascii="Arial" w:hAnsi="Arial" w:cs="Arial"/>
          <w:b/>
          <w:sz w:val="22"/>
          <w:szCs w:val="22"/>
        </w:rPr>
      </w:pPr>
      <w:r w:rsidRPr="00626CE9">
        <w:rPr>
          <w:rFonts w:ascii="Arial" w:hAnsi="Arial" w:cs="Arial"/>
          <w:b/>
          <w:sz w:val="22"/>
          <w:szCs w:val="22"/>
        </w:rPr>
        <w:t>Amenajare locuri de parcare subterane</w:t>
      </w:r>
    </w:p>
    <w:p w:rsidR="00AF1954" w:rsidRPr="00626CE9" w:rsidRDefault="00AF1954" w:rsidP="00AF1954">
      <w:pPr>
        <w:pStyle w:val="BodyText"/>
        <w:ind w:left="720"/>
        <w:rPr>
          <w:rFonts w:ascii="Arial" w:hAnsi="Arial" w:cs="Arial"/>
          <w:sz w:val="22"/>
          <w:szCs w:val="22"/>
        </w:rPr>
      </w:pPr>
      <w:r w:rsidRPr="00626CE9">
        <w:rPr>
          <w:rFonts w:ascii="Arial" w:hAnsi="Arial" w:cs="Arial"/>
          <w:sz w:val="22"/>
          <w:szCs w:val="22"/>
        </w:rPr>
        <w:t>Amenajarea unui spatiu pietonal intre Parcul 1 Decembrie si Cetate va conduce la suprimarea unui anumit numar de locuri de parcare e</w:t>
      </w:r>
      <w:r w:rsidR="00671A1A">
        <w:rPr>
          <w:rFonts w:ascii="Arial" w:hAnsi="Arial" w:cs="Arial"/>
          <w:sz w:val="22"/>
          <w:szCs w:val="22"/>
        </w:rPr>
        <w:t>xistente la suprafata in Piata Gojdu</w:t>
      </w:r>
      <w:r w:rsidRPr="00626CE9">
        <w:rPr>
          <w:rFonts w:ascii="Arial" w:hAnsi="Arial" w:cs="Arial"/>
          <w:sz w:val="22"/>
          <w:szCs w:val="22"/>
        </w:rPr>
        <w:t>, la fel si a unei parti din cele existente in jurul Catedralei.</w:t>
      </w:r>
    </w:p>
    <w:p w:rsidR="00FF61C2" w:rsidRPr="00626CE9" w:rsidRDefault="00FF61C2" w:rsidP="00FF61C2">
      <w:pPr>
        <w:pStyle w:val="BodyText"/>
        <w:rPr>
          <w:sz w:val="22"/>
          <w:szCs w:val="22"/>
        </w:rPr>
      </w:pPr>
    </w:p>
    <w:p w:rsidR="00FF61C2" w:rsidRDefault="00FF61C2" w:rsidP="00147234">
      <w:pPr>
        <w:rPr>
          <w:rFonts w:ascii="Arial" w:hAnsi="Arial" w:cs="Arial"/>
        </w:rPr>
      </w:pPr>
    </w:p>
    <w:p w:rsidR="00F907AF" w:rsidRPr="00F907AF" w:rsidRDefault="00F907AF" w:rsidP="00147234">
      <w:pPr>
        <w:rPr>
          <w:rFonts w:ascii="Arial" w:hAnsi="Arial" w:cs="Arial"/>
          <w:b/>
        </w:rPr>
      </w:pPr>
      <w:r w:rsidRPr="00F907AF">
        <w:rPr>
          <w:rFonts w:ascii="Arial" w:hAnsi="Arial" w:cs="Arial"/>
          <w:b/>
        </w:rPr>
        <w:lastRenderedPageBreak/>
        <w:t>Principalele faze de executie</w:t>
      </w:r>
      <w:r w:rsidR="00D61138">
        <w:rPr>
          <w:rFonts w:ascii="Arial" w:hAnsi="Arial" w:cs="Arial"/>
          <w:b/>
        </w:rPr>
        <w:t xml:space="preserve"> A1</w:t>
      </w:r>
    </w:p>
    <w:p w:rsidR="00F907AF" w:rsidRDefault="00F907AF" w:rsidP="00147234">
      <w:pPr>
        <w:rPr>
          <w:rFonts w:ascii="Arial" w:hAnsi="Arial" w:cs="Arial"/>
          <w:b/>
        </w:rPr>
      </w:pPr>
      <w:r w:rsidRPr="00F907AF">
        <w:rPr>
          <w:rFonts w:ascii="Arial" w:hAnsi="Arial" w:cs="Arial"/>
          <w:b/>
          <w:noProof/>
          <w:lang w:val="ro-RO" w:eastAsia="ro-RO"/>
        </w:rPr>
        <w:drawing>
          <wp:inline distT="0" distB="0" distL="0" distR="0">
            <wp:extent cx="6357600" cy="2570400"/>
            <wp:effectExtent l="0" t="0" r="5715" b="1905"/>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age.jpg"/>
                    <pic:cNvPicPr/>
                  </pic:nvPicPr>
                  <pic:blipFill rotWithShape="1">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6357600" cy="2570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A55DB" w:rsidRPr="008E6CBE" w:rsidRDefault="009A55DB" w:rsidP="00147234">
      <w:pPr>
        <w:rPr>
          <w:rFonts w:ascii="Arial" w:hAnsi="Arial" w:cs="Arial"/>
        </w:rPr>
      </w:pPr>
      <w:r w:rsidRPr="008E6CBE">
        <w:rPr>
          <w:rFonts w:ascii="Arial" w:hAnsi="Arial" w:cs="Arial"/>
        </w:rPr>
        <w:t>Faze</w:t>
      </w:r>
      <w:r w:rsidR="00986021" w:rsidRPr="008E6CBE">
        <w:rPr>
          <w:rFonts w:ascii="Arial" w:hAnsi="Arial" w:cs="Arial"/>
        </w:rPr>
        <w:t>le</w:t>
      </w:r>
      <w:r w:rsidRPr="008E6CBE">
        <w:rPr>
          <w:rFonts w:ascii="Arial" w:hAnsi="Arial" w:cs="Arial"/>
        </w:rPr>
        <w:t xml:space="preserve"> de executie ale pasajului subteran in zona centrala</w:t>
      </w:r>
    </w:p>
    <w:p w:rsidR="009A55DB" w:rsidRPr="003B5440" w:rsidRDefault="009A55DB" w:rsidP="009A55DB">
      <w:pPr>
        <w:pStyle w:val="StylenumrationSwis721ExBT"/>
        <w:rPr>
          <w:rFonts w:ascii="Arial" w:hAnsi="Arial" w:cs="Arial"/>
          <w:sz w:val="20"/>
          <w:szCs w:val="20"/>
        </w:rPr>
      </w:pPr>
      <w:r w:rsidRPr="003B5440">
        <w:rPr>
          <w:rFonts w:ascii="Arial" w:hAnsi="Arial" w:cs="Arial"/>
          <w:sz w:val="20"/>
          <w:szCs w:val="20"/>
        </w:rPr>
        <w:t>1</w:t>
      </w:r>
      <w:r w:rsidR="00157FAA" w:rsidRPr="003B5440">
        <w:rPr>
          <w:rFonts w:ascii="Arial" w:hAnsi="Arial" w:cs="Arial"/>
          <w:sz w:val="20"/>
          <w:szCs w:val="20"/>
        </w:rPr>
        <w:t xml:space="preserve"> </w:t>
      </w:r>
      <w:r w:rsidRPr="003B5440">
        <w:rPr>
          <w:rFonts w:ascii="Arial" w:hAnsi="Arial" w:cs="Arial"/>
          <w:sz w:val="20"/>
          <w:szCs w:val="20"/>
        </w:rPr>
        <w:t>– devierea sensului Nord / Sud in locul parcarii existente,</w:t>
      </w:r>
    </w:p>
    <w:p w:rsidR="009A55DB" w:rsidRPr="003B5440" w:rsidRDefault="009A55DB" w:rsidP="009A55DB">
      <w:pPr>
        <w:pStyle w:val="StylenumrationSwis721ExBT"/>
        <w:rPr>
          <w:rFonts w:ascii="Arial" w:hAnsi="Arial" w:cs="Arial"/>
          <w:sz w:val="20"/>
          <w:szCs w:val="20"/>
        </w:rPr>
      </w:pPr>
      <w:r w:rsidRPr="003B5440">
        <w:rPr>
          <w:rFonts w:ascii="Arial" w:hAnsi="Arial" w:cs="Arial"/>
          <w:sz w:val="20"/>
          <w:szCs w:val="20"/>
        </w:rPr>
        <w:t xml:space="preserve">2 – realizarea tronsonului Nord a pasajului Nord / Sud, </w:t>
      </w:r>
    </w:p>
    <w:p w:rsidR="009A55DB" w:rsidRPr="003B5440" w:rsidRDefault="009A55DB" w:rsidP="009A55DB">
      <w:pPr>
        <w:pStyle w:val="StylenumrationSwis721ExBT"/>
        <w:rPr>
          <w:rFonts w:ascii="Arial" w:hAnsi="Arial" w:cs="Arial"/>
          <w:sz w:val="20"/>
          <w:szCs w:val="20"/>
        </w:rPr>
      </w:pPr>
      <w:r w:rsidRPr="003B5440">
        <w:rPr>
          <w:rFonts w:ascii="Arial" w:hAnsi="Arial" w:cs="Arial"/>
          <w:sz w:val="20"/>
          <w:szCs w:val="20"/>
        </w:rPr>
        <w:t>3 –</w:t>
      </w:r>
      <w:r w:rsidR="00157FAA" w:rsidRPr="003B5440">
        <w:rPr>
          <w:rFonts w:ascii="Arial" w:hAnsi="Arial" w:cs="Arial"/>
          <w:sz w:val="20"/>
          <w:szCs w:val="20"/>
        </w:rPr>
        <w:t xml:space="preserve"> </w:t>
      </w:r>
      <w:r w:rsidRPr="003B5440">
        <w:rPr>
          <w:rFonts w:ascii="Arial" w:hAnsi="Arial" w:cs="Arial"/>
          <w:sz w:val="20"/>
          <w:szCs w:val="20"/>
        </w:rPr>
        <w:t>devierea sensului Sud / Nord cu trecere peste tronsonul construit anterior,</w:t>
      </w:r>
    </w:p>
    <w:p w:rsidR="009A55DB" w:rsidRPr="003B5440" w:rsidRDefault="009A55DB" w:rsidP="009A55DB">
      <w:pPr>
        <w:pStyle w:val="StylenumrationSwis721ExBT"/>
        <w:rPr>
          <w:rFonts w:ascii="Arial" w:hAnsi="Arial" w:cs="Arial"/>
          <w:sz w:val="20"/>
          <w:szCs w:val="20"/>
        </w:rPr>
      </w:pPr>
      <w:r w:rsidRPr="003B5440">
        <w:rPr>
          <w:rFonts w:ascii="Arial" w:hAnsi="Arial" w:cs="Arial"/>
          <w:sz w:val="20"/>
          <w:szCs w:val="20"/>
        </w:rPr>
        <w:t>4 – realizarea celorlalte tronsoane ale pasajului subteran,</w:t>
      </w:r>
    </w:p>
    <w:p w:rsidR="009A55DB" w:rsidRPr="003B5440" w:rsidRDefault="009A55DB" w:rsidP="009A55DB">
      <w:pPr>
        <w:pStyle w:val="StylenumrationSwis721ExBT"/>
        <w:rPr>
          <w:rFonts w:ascii="Arial" w:hAnsi="Arial" w:cs="Arial"/>
          <w:sz w:val="20"/>
          <w:szCs w:val="20"/>
        </w:rPr>
      </w:pPr>
      <w:r w:rsidRPr="003B5440">
        <w:rPr>
          <w:rFonts w:ascii="Arial" w:hAnsi="Arial" w:cs="Arial"/>
          <w:sz w:val="20"/>
          <w:szCs w:val="20"/>
        </w:rPr>
        <w:t>5 – realizarea rampelor de acces Nord si Sud / Est, apoi instalarea echipamentelor de exploatare a pasajului Sud / Nord si darea in circulatie a acestuia,</w:t>
      </w:r>
    </w:p>
    <w:p w:rsidR="009A55DB" w:rsidRPr="003B5440" w:rsidRDefault="009A55DB" w:rsidP="009A55DB">
      <w:pPr>
        <w:pStyle w:val="StylenumrationSwis721ExBT"/>
        <w:rPr>
          <w:rFonts w:ascii="Arial" w:hAnsi="Arial" w:cs="Arial"/>
          <w:sz w:val="20"/>
          <w:szCs w:val="20"/>
        </w:rPr>
      </w:pPr>
      <w:r w:rsidRPr="003B5440">
        <w:rPr>
          <w:rFonts w:ascii="Arial" w:hAnsi="Arial" w:cs="Arial"/>
          <w:sz w:val="20"/>
          <w:szCs w:val="20"/>
        </w:rPr>
        <w:t>6 – anularea deviatiei sensului Sud / Nord si realizarea rampei Sud / Vest. Extremitatea sudica a devierii provizorie a sensului Nord / Sud va folosi in mod local ampriza liniei de tramvai, deci traficul este mentinut,</w:t>
      </w:r>
    </w:p>
    <w:p w:rsidR="009A55DB" w:rsidRPr="003B5440" w:rsidRDefault="009A55DB" w:rsidP="009A55DB">
      <w:pPr>
        <w:pStyle w:val="StylenumrationSwis721ExBT"/>
        <w:rPr>
          <w:rFonts w:ascii="Arial" w:hAnsi="Arial" w:cs="Arial"/>
          <w:sz w:val="20"/>
          <w:szCs w:val="20"/>
        </w:rPr>
      </w:pPr>
      <w:r w:rsidRPr="003B5440">
        <w:rPr>
          <w:rFonts w:ascii="Arial" w:hAnsi="Arial" w:cs="Arial"/>
          <w:sz w:val="20"/>
          <w:szCs w:val="20"/>
        </w:rPr>
        <w:t>7 – instalarea echipamentelor de exploatare si securitate in pasajul Nord / Sud, apoi darea in circulatie a sensului Nord / Sud,</w:t>
      </w:r>
    </w:p>
    <w:p w:rsidR="009A55DB" w:rsidRPr="003B5440" w:rsidRDefault="009A55DB" w:rsidP="009A55DB">
      <w:pPr>
        <w:pStyle w:val="StylenumrationSwis721ExBT"/>
        <w:rPr>
          <w:rFonts w:ascii="Arial" w:hAnsi="Arial" w:cs="Arial"/>
          <w:sz w:val="20"/>
          <w:szCs w:val="20"/>
          <w:lang w:val="en-US"/>
        </w:rPr>
      </w:pPr>
      <w:r w:rsidRPr="003B5440">
        <w:rPr>
          <w:rFonts w:ascii="Arial" w:hAnsi="Arial" w:cs="Arial"/>
          <w:sz w:val="20"/>
          <w:szCs w:val="20"/>
          <w:lang w:val="en-US"/>
        </w:rPr>
        <w:t>8 – realizarea amenajarilor peisagistice in continuitatea parcului.</w:t>
      </w:r>
    </w:p>
    <w:p w:rsidR="00F907AF" w:rsidRPr="001C313B" w:rsidRDefault="00F907AF" w:rsidP="00147234">
      <w:pPr>
        <w:rPr>
          <w:rFonts w:ascii="Arial" w:hAnsi="Arial" w:cs="Arial"/>
          <w:b/>
          <w:sz w:val="6"/>
          <w:szCs w:val="6"/>
        </w:rPr>
      </w:pPr>
    </w:p>
    <w:tbl>
      <w:tblPr>
        <w:tblW w:w="11036" w:type="dxa"/>
        <w:tblInd w:w="103" w:type="dxa"/>
        <w:tblLook w:val="04A0"/>
      </w:tblPr>
      <w:tblGrid>
        <w:gridCol w:w="4396"/>
        <w:gridCol w:w="1660"/>
        <w:gridCol w:w="1660"/>
        <w:gridCol w:w="1660"/>
        <w:gridCol w:w="1660"/>
      </w:tblGrid>
      <w:tr w:rsidR="008E6CBE" w:rsidRPr="008E6CBE" w:rsidTr="000F0586">
        <w:trPr>
          <w:trHeight w:val="240"/>
        </w:trPr>
        <w:tc>
          <w:tcPr>
            <w:tcW w:w="4396"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b/>
                <w:color w:val="000000"/>
              </w:rPr>
            </w:pPr>
            <w:r w:rsidRPr="00C67EC0">
              <w:rPr>
                <w:rFonts w:ascii="Arial" w:eastAsia="Times New Roman" w:hAnsi="Arial" w:cs="Arial"/>
                <w:b/>
                <w:color w:val="000000"/>
              </w:rPr>
              <w:t>Varianta A1</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Giratie</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Piata Gojdu</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Piata Cetatii</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total</w:t>
            </w:r>
          </w:p>
        </w:tc>
      </w:tr>
      <w:tr w:rsidR="008E6CBE" w:rsidRPr="008E6CBE" w:rsidTr="000F0586">
        <w:trPr>
          <w:trHeight w:val="240"/>
        </w:trPr>
        <w:tc>
          <w:tcPr>
            <w:tcW w:w="4396"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b/>
                <w:color w:val="000000"/>
              </w:rPr>
            </w:pPr>
            <w:r w:rsidRPr="00C67EC0">
              <w:rPr>
                <w:rFonts w:ascii="Arial" w:eastAsia="Times New Roman" w:hAnsi="Arial" w:cs="Arial"/>
                <w:b/>
                <w:color w:val="000000"/>
              </w:rPr>
              <w:t>nefazat</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4,560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7,880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7,560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b/>
                <w:color w:val="000000"/>
              </w:rPr>
            </w:pPr>
            <w:r w:rsidRPr="00C67EC0">
              <w:rPr>
                <w:rFonts w:ascii="Arial" w:eastAsia="Times New Roman" w:hAnsi="Arial" w:cs="Arial"/>
                <w:b/>
                <w:color w:val="000000"/>
              </w:rPr>
              <w:t>20,000 k€</w:t>
            </w:r>
          </w:p>
        </w:tc>
      </w:tr>
      <w:tr w:rsidR="008E6CBE" w:rsidRPr="008E6CBE" w:rsidTr="000F0586">
        <w:trPr>
          <w:trHeight w:val="240"/>
        </w:trPr>
        <w:tc>
          <w:tcPr>
            <w:tcW w:w="4396"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Faza 0</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140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210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230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580 k€</w:t>
            </w:r>
          </w:p>
        </w:tc>
      </w:tr>
      <w:tr w:rsidR="008E6CBE" w:rsidRPr="008E6CBE" w:rsidTr="000F0586">
        <w:trPr>
          <w:trHeight w:val="240"/>
        </w:trPr>
        <w:tc>
          <w:tcPr>
            <w:tcW w:w="4396"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Faza 1</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3,780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3,780 k€</w:t>
            </w:r>
          </w:p>
        </w:tc>
      </w:tr>
      <w:tr w:rsidR="008E6CBE" w:rsidRPr="008E6CBE" w:rsidTr="000F0586">
        <w:trPr>
          <w:trHeight w:val="240"/>
        </w:trPr>
        <w:tc>
          <w:tcPr>
            <w:tcW w:w="4396"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Faza 2</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7,330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7,330 k€</w:t>
            </w:r>
          </w:p>
        </w:tc>
      </w:tr>
      <w:tr w:rsidR="008E6CBE" w:rsidRPr="008E6CBE" w:rsidTr="000F0586">
        <w:trPr>
          <w:trHeight w:val="240"/>
        </w:trPr>
        <w:tc>
          <w:tcPr>
            <w:tcW w:w="4396"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Faza 3</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1,100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7,670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8,770 k€</w:t>
            </w:r>
          </w:p>
        </w:tc>
      </w:tr>
      <w:tr w:rsidR="008E6CBE" w:rsidRPr="008E6CBE" w:rsidTr="000F0586">
        <w:trPr>
          <w:trHeight w:val="240"/>
        </w:trPr>
        <w:tc>
          <w:tcPr>
            <w:tcW w:w="4396"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b/>
                <w:color w:val="000000"/>
              </w:rPr>
            </w:pPr>
            <w:r w:rsidRPr="00C67EC0">
              <w:rPr>
                <w:rFonts w:ascii="Arial" w:eastAsia="Times New Roman" w:hAnsi="Arial" w:cs="Arial"/>
                <w:b/>
                <w:color w:val="000000"/>
              </w:rPr>
              <w:t>total faze</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5,020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7,880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color w:val="000000"/>
              </w:rPr>
            </w:pPr>
            <w:r w:rsidRPr="00C67EC0">
              <w:rPr>
                <w:rFonts w:ascii="Arial" w:eastAsia="Times New Roman" w:hAnsi="Arial" w:cs="Arial"/>
                <w:color w:val="000000"/>
              </w:rPr>
              <w:t>7,560 k€</w:t>
            </w:r>
          </w:p>
        </w:tc>
        <w:tc>
          <w:tcPr>
            <w:tcW w:w="1660" w:type="dxa"/>
            <w:tcBorders>
              <w:top w:val="nil"/>
              <w:left w:val="nil"/>
              <w:bottom w:val="nil"/>
              <w:right w:val="nil"/>
            </w:tcBorders>
            <w:shd w:val="clear" w:color="auto" w:fill="auto"/>
            <w:noWrap/>
            <w:vAlign w:val="bottom"/>
            <w:hideMark/>
          </w:tcPr>
          <w:p w:rsidR="008E6CBE" w:rsidRPr="00C67EC0" w:rsidRDefault="008E6CBE" w:rsidP="008E6CBE">
            <w:pPr>
              <w:spacing w:after="0" w:line="240" w:lineRule="auto"/>
              <w:jc w:val="center"/>
              <w:rPr>
                <w:rFonts w:ascii="Arial" w:eastAsia="Times New Roman" w:hAnsi="Arial" w:cs="Arial"/>
                <w:b/>
                <w:color w:val="000000"/>
              </w:rPr>
            </w:pPr>
            <w:r w:rsidRPr="00C67EC0">
              <w:rPr>
                <w:rFonts w:ascii="Arial" w:eastAsia="Times New Roman" w:hAnsi="Arial" w:cs="Arial"/>
                <w:b/>
                <w:color w:val="000000"/>
              </w:rPr>
              <w:t>20,460 k€</w:t>
            </w:r>
          </w:p>
        </w:tc>
      </w:tr>
    </w:tbl>
    <w:p w:rsidR="008E6CBE" w:rsidRDefault="008E6CBE" w:rsidP="00147234">
      <w:pPr>
        <w:rPr>
          <w:rFonts w:ascii="Arial" w:hAnsi="Arial" w:cs="Arial"/>
          <w:b/>
          <w:sz w:val="24"/>
          <w:szCs w:val="24"/>
        </w:rPr>
      </w:pPr>
    </w:p>
    <w:p w:rsidR="008E6CBE" w:rsidRDefault="008E6CBE" w:rsidP="00147234">
      <w:pPr>
        <w:rPr>
          <w:rFonts w:ascii="Arial" w:hAnsi="Arial" w:cs="Arial"/>
          <w:b/>
          <w:sz w:val="24"/>
          <w:szCs w:val="24"/>
        </w:rPr>
      </w:pPr>
    </w:p>
    <w:tbl>
      <w:tblPr>
        <w:tblW w:w="11036" w:type="dxa"/>
        <w:tblInd w:w="103" w:type="dxa"/>
        <w:tblLook w:val="04A0"/>
      </w:tblPr>
      <w:tblGrid>
        <w:gridCol w:w="4396"/>
        <w:gridCol w:w="1660"/>
        <w:gridCol w:w="1660"/>
        <w:gridCol w:w="1660"/>
        <w:gridCol w:w="1660"/>
      </w:tblGrid>
      <w:tr w:rsidR="00C67EC0" w:rsidRPr="00C67EC0" w:rsidTr="00C67EC0">
        <w:trPr>
          <w:trHeight w:val="540"/>
        </w:trPr>
        <w:tc>
          <w:tcPr>
            <w:tcW w:w="4396" w:type="dxa"/>
            <w:tcBorders>
              <w:top w:val="single" w:sz="4" w:space="0" w:color="75923C"/>
              <w:left w:val="single" w:sz="4" w:space="0" w:color="75923C"/>
              <w:bottom w:val="single" w:sz="4" w:space="0" w:color="75923C"/>
              <w:right w:val="nil"/>
            </w:tcBorders>
            <w:shd w:val="clear" w:color="000000" w:fill="EAF1DD"/>
            <w:vAlign w:val="center"/>
            <w:hideMark/>
          </w:tcPr>
          <w:p w:rsidR="00C67EC0" w:rsidRPr="00C67EC0" w:rsidRDefault="00C67EC0" w:rsidP="00C67EC0">
            <w:pPr>
              <w:spacing w:after="0" w:line="240" w:lineRule="auto"/>
              <w:jc w:val="center"/>
              <w:rPr>
                <w:rFonts w:ascii="Swiss 721" w:eastAsia="Times New Roman" w:hAnsi="Swiss 721" w:cs="Times New Roman"/>
                <w:color w:val="000000"/>
                <w:sz w:val="20"/>
                <w:szCs w:val="20"/>
              </w:rPr>
            </w:pPr>
            <w:r w:rsidRPr="00C67EC0">
              <w:rPr>
                <w:rFonts w:ascii="Swiss 721" w:eastAsia="Times New Roman" w:hAnsi="Swiss 721" w:cs="Times New Roman"/>
                <w:color w:val="000000"/>
                <w:sz w:val="20"/>
                <w:szCs w:val="20"/>
              </w:rPr>
              <w:t xml:space="preserve"> Varianta A1</w:t>
            </w:r>
          </w:p>
        </w:tc>
        <w:tc>
          <w:tcPr>
            <w:tcW w:w="1660" w:type="dxa"/>
            <w:tcBorders>
              <w:top w:val="single" w:sz="4" w:space="0" w:color="75923C"/>
              <w:left w:val="single" w:sz="4" w:space="0" w:color="75923C"/>
              <w:bottom w:val="single" w:sz="4" w:space="0" w:color="75923C"/>
              <w:right w:val="single" w:sz="4" w:space="0" w:color="75923C"/>
            </w:tcBorders>
            <w:shd w:val="clear" w:color="000000" w:fill="EAF1DD"/>
            <w:vAlign w:val="center"/>
            <w:hideMark/>
          </w:tcPr>
          <w:p w:rsidR="00C67EC0" w:rsidRPr="00C67EC0" w:rsidRDefault="00C67EC0" w:rsidP="00C67EC0">
            <w:pPr>
              <w:spacing w:after="0" w:line="240" w:lineRule="auto"/>
              <w:jc w:val="center"/>
              <w:rPr>
                <w:rFonts w:ascii="Swiss 721" w:eastAsia="Times New Roman" w:hAnsi="Swiss 721" w:cs="Times New Roman"/>
                <w:color w:val="000000"/>
                <w:sz w:val="20"/>
                <w:szCs w:val="20"/>
              </w:rPr>
            </w:pPr>
            <w:r w:rsidRPr="00C67EC0">
              <w:rPr>
                <w:rFonts w:ascii="Swiss 721" w:eastAsia="Times New Roman" w:hAnsi="Swiss 721" w:cs="Times New Roman"/>
                <w:color w:val="000000"/>
                <w:sz w:val="20"/>
                <w:szCs w:val="20"/>
              </w:rPr>
              <w:t>Giratie</w:t>
            </w:r>
          </w:p>
        </w:tc>
        <w:tc>
          <w:tcPr>
            <w:tcW w:w="1660" w:type="dxa"/>
            <w:tcBorders>
              <w:top w:val="single" w:sz="4" w:space="0" w:color="75923C"/>
              <w:left w:val="nil"/>
              <w:bottom w:val="single" w:sz="4" w:space="0" w:color="75923C"/>
              <w:right w:val="single" w:sz="4" w:space="0" w:color="75923C"/>
            </w:tcBorders>
            <w:shd w:val="clear" w:color="000000" w:fill="EAF1DD"/>
            <w:vAlign w:val="center"/>
            <w:hideMark/>
          </w:tcPr>
          <w:p w:rsidR="00C67EC0" w:rsidRPr="00C67EC0" w:rsidRDefault="00C67EC0" w:rsidP="00C67EC0">
            <w:pPr>
              <w:spacing w:after="0" w:line="240" w:lineRule="auto"/>
              <w:jc w:val="center"/>
              <w:rPr>
                <w:rFonts w:ascii="Swiss 721" w:eastAsia="Times New Roman" w:hAnsi="Swiss 721" w:cs="Times New Roman"/>
                <w:color w:val="000000"/>
                <w:sz w:val="20"/>
                <w:szCs w:val="20"/>
              </w:rPr>
            </w:pPr>
            <w:r w:rsidRPr="00C67EC0">
              <w:rPr>
                <w:rFonts w:ascii="Swiss 721" w:eastAsia="Times New Roman" w:hAnsi="Swiss 721" w:cs="Times New Roman"/>
                <w:color w:val="000000"/>
                <w:sz w:val="20"/>
                <w:szCs w:val="20"/>
              </w:rPr>
              <w:t>Piata Gojdu</w:t>
            </w:r>
          </w:p>
        </w:tc>
        <w:tc>
          <w:tcPr>
            <w:tcW w:w="1660" w:type="dxa"/>
            <w:tcBorders>
              <w:top w:val="single" w:sz="4" w:space="0" w:color="75923C"/>
              <w:left w:val="nil"/>
              <w:bottom w:val="single" w:sz="4" w:space="0" w:color="75923C"/>
              <w:right w:val="single" w:sz="4" w:space="0" w:color="75923C"/>
            </w:tcBorders>
            <w:shd w:val="clear" w:color="000000" w:fill="EAF1DD"/>
            <w:vAlign w:val="center"/>
            <w:hideMark/>
          </w:tcPr>
          <w:p w:rsidR="00C67EC0" w:rsidRPr="00C67EC0" w:rsidRDefault="00C67EC0" w:rsidP="00C67EC0">
            <w:pPr>
              <w:spacing w:after="0" w:line="240" w:lineRule="auto"/>
              <w:jc w:val="center"/>
              <w:rPr>
                <w:rFonts w:ascii="Swiss 721" w:eastAsia="Times New Roman" w:hAnsi="Swiss 721" w:cs="Times New Roman"/>
                <w:color w:val="000000"/>
                <w:sz w:val="20"/>
                <w:szCs w:val="20"/>
              </w:rPr>
            </w:pPr>
            <w:r w:rsidRPr="00C67EC0">
              <w:rPr>
                <w:rFonts w:ascii="Swiss 721" w:eastAsia="Times New Roman" w:hAnsi="Swiss 721" w:cs="Times New Roman"/>
                <w:color w:val="000000"/>
                <w:sz w:val="20"/>
                <w:szCs w:val="20"/>
              </w:rPr>
              <w:t>Piata Cetatii</w:t>
            </w:r>
          </w:p>
        </w:tc>
        <w:tc>
          <w:tcPr>
            <w:tcW w:w="1660" w:type="dxa"/>
            <w:tcBorders>
              <w:top w:val="single" w:sz="4" w:space="0" w:color="75923C"/>
              <w:left w:val="nil"/>
              <w:bottom w:val="single" w:sz="4" w:space="0" w:color="75923C"/>
              <w:right w:val="single" w:sz="4" w:space="0" w:color="75923C"/>
            </w:tcBorders>
            <w:shd w:val="clear" w:color="000000" w:fill="EAF1DD"/>
            <w:vAlign w:val="center"/>
            <w:hideMark/>
          </w:tcPr>
          <w:p w:rsidR="00C67EC0" w:rsidRPr="00C67EC0" w:rsidRDefault="00C67EC0" w:rsidP="00C67EC0">
            <w:pPr>
              <w:spacing w:after="0" w:line="240" w:lineRule="auto"/>
              <w:jc w:val="center"/>
              <w:rPr>
                <w:rFonts w:ascii="Swiss 721" w:eastAsia="Times New Roman" w:hAnsi="Swiss 721" w:cs="Times New Roman"/>
                <w:color w:val="000000"/>
                <w:sz w:val="20"/>
                <w:szCs w:val="20"/>
              </w:rPr>
            </w:pPr>
            <w:r w:rsidRPr="00C67EC0">
              <w:rPr>
                <w:rFonts w:ascii="Swiss 721" w:eastAsia="Times New Roman" w:hAnsi="Swiss 721" w:cs="Times New Roman"/>
                <w:color w:val="000000"/>
                <w:sz w:val="20"/>
                <w:szCs w:val="20"/>
              </w:rPr>
              <w:t>Total</w:t>
            </w:r>
          </w:p>
        </w:tc>
      </w:tr>
      <w:tr w:rsidR="00C67EC0" w:rsidRPr="00C67EC0" w:rsidTr="00C67EC0">
        <w:trPr>
          <w:trHeight w:val="240"/>
        </w:trPr>
        <w:tc>
          <w:tcPr>
            <w:tcW w:w="4396" w:type="dxa"/>
            <w:tcBorders>
              <w:top w:val="nil"/>
              <w:left w:val="single" w:sz="4" w:space="0" w:color="75923C"/>
              <w:bottom w:val="nil"/>
              <w:right w:val="nil"/>
            </w:tcBorders>
            <w:shd w:val="clear" w:color="auto" w:fill="auto"/>
            <w:noWrap/>
            <w:vAlign w:val="center"/>
            <w:hideMark/>
          </w:tcPr>
          <w:p w:rsidR="00C67EC0" w:rsidRPr="00C67EC0" w:rsidRDefault="00C67EC0" w:rsidP="00C67EC0">
            <w:pPr>
              <w:spacing w:after="0" w:line="240" w:lineRule="auto"/>
              <w:ind w:firstLineChars="100" w:firstLine="160"/>
              <w:rPr>
                <w:rFonts w:ascii="Swiss 721" w:eastAsia="Times New Roman" w:hAnsi="Swiss 721" w:cs="Times New Roman"/>
                <w:sz w:val="16"/>
                <w:szCs w:val="16"/>
              </w:rPr>
            </w:pPr>
            <w:r w:rsidRPr="00C67EC0">
              <w:rPr>
                <w:rFonts w:ascii="Swiss 721" w:eastAsia="Times New Roman" w:hAnsi="Swiss 721" w:cs="Times New Roman"/>
                <w:sz w:val="16"/>
                <w:szCs w:val="16"/>
              </w:rPr>
              <w:t>Studii  preliminare - topo - sondaje</w:t>
            </w:r>
          </w:p>
        </w:tc>
        <w:tc>
          <w:tcPr>
            <w:tcW w:w="1660" w:type="dxa"/>
            <w:tcBorders>
              <w:top w:val="nil"/>
              <w:left w:val="single" w:sz="4" w:space="0" w:color="75923C"/>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130 k€</w:t>
            </w:r>
          </w:p>
        </w:tc>
        <w:tc>
          <w:tcPr>
            <w:tcW w:w="1660" w:type="dxa"/>
            <w:tcBorders>
              <w:top w:val="nil"/>
              <w:left w:val="nil"/>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190 k€</w:t>
            </w:r>
          </w:p>
        </w:tc>
        <w:tc>
          <w:tcPr>
            <w:tcW w:w="1660" w:type="dxa"/>
            <w:tcBorders>
              <w:top w:val="nil"/>
              <w:left w:val="nil"/>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210 k€</w:t>
            </w:r>
          </w:p>
        </w:tc>
        <w:tc>
          <w:tcPr>
            <w:tcW w:w="1660" w:type="dxa"/>
            <w:tcBorders>
              <w:top w:val="nil"/>
              <w:left w:val="nil"/>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530 k€</w:t>
            </w:r>
          </w:p>
        </w:tc>
      </w:tr>
      <w:tr w:rsidR="00C67EC0" w:rsidRPr="00C67EC0" w:rsidTr="00C67EC0">
        <w:trPr>
          <w:trHeight w:val="240"/>
        </w:trPr>
        <w:tc>
          <w:tcPr>
            <w:tcW w:w="4396" w:type="dxa"/>
            <w:tcBorders>
              <w:top w:val="nil"/>
              <w:left w:val="single" w:sz="4" w:space="0" w:color="75923C"/>
              <w:bottom w:val="nil"/>
              <w:right w:val="nil"/>
            </w:tcBorders>
            <w:shd w:val="clear" w:color="auto" w:fill="auto"/>
            <w:noWrap/>
            <w:vAlign w:val="center"/>
            <w:hideMark/>
          </w:tcPr>
          <w:p w:rsidR="00C67EC0" w:rsidRPr="00C67EC0" w:rsidRDefault="00C67EC0" w:rsidP="00C67EC0">
            <w:pPr>
              <w:spacing w:after="0" w:line="240" w:lineRule="auto"/>
              <w:ind w:firstLineChars="100" w:firstLine="160"/>
              <w:rPr>
                <w:rFonts w:ascii="Swiss 721" w:eastAsia="Times New Roman" w:hAnsi="Swiss 721" w:cs="Times New Roman"/>
                <w:sz w:val="16"/>
                <w:szCs w:val="16"/>
              </w:rPr>
            </w:pPr>
            <w:r w:rsidRPr="00C67EC0">
              <w:rPr>
                <w:rFonts w:ascii="Swiss 721" w:eastAsia="Times New Roman" w:hAnsi="Swiss 721" w:cs="Times New Roman"/>
                <w:sz w:val="16"/>
                <w:szCs w:val="16"/>
              </w:rPr>
              <w:t>Studii  &amp; management</w:t>
            </w:r>
          </w:p>
        </w:tc>
        <w:tc>
          <w:tcPr>
            <w:tcW w:w="1660" w:type="dxa"/>
            <w:tcBorders>
              <w:top w:val="nil"/>
              <w:left w:val="single" w:sz="4" w:space="0" w:color="75923C"/>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300 k€</w:t>
            </w:r>
          </w:p>
        </w:tc>
        <w:tc>
          <w:tcPr>
            <w:tcW w:w="1660" w:type="dxa"/>
            <w:tcBorders>
              <w:top w:val="nil"/>
              <w:left w:val="nil"/>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520 k€</w:t>
            </w:r>
          </w:p>
        </w:tc>
        <w:tc>
          <w:tcPr>
            <w:tcW w:w="1660" w:type="dxa"/>
            <w:tcBorders>
              <w:top w:val="nil"/>
              <w:left w:val="nil"/>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480 k€</w:t>
            </w:r>
          </w:p>
        </w:tc>
        <w:tc>
          <w:tcPr>
            <w:tcW w:w="1660" w:type="dxa"/>
            <w:tcBorders>
              <w:top w:val="nil"/>
              <w:left w:val="nil"/>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1,300 k€</w:t>
            </w:r>
          </w:p>
        </w:tc>
      </w:tr>
      <w:tr w:rsidR="00C67EC0" w:rsidRPr="00C67EC0" w:rsidTr="00C67EC0">
        <w:trPr>
          <w:trHeight w:val="240"/>
        </w:trPr>
        <w:tc>
          <w:tcPr>
            <w:tcW w:w="4396" w:type="dxa"/>
            <w:tcBorders>
              <w:top w:val="nil"/>
              <w:left w:val="single" w:sz="4" w:space="0" w:color="75923C"/>
              <w:bottom w:val="nil"/>
              <w:right w:val="nil"/>
            </w:tcBorders>
            <w:shd w:val="clear" w:color="auto" w:fill="auto"/>
            <w:noWrap/>
            <w:vAlign w:val="center"/>
            <w:hideMark/>
          </w:tcPr>
          <w:p w:rsidR="00C67EC0" w:rsidRPr="00C67EC0" w:rsidRDefault="00C67EC0" w:rsidP="00C67EC0">
            <w:pPr>
              <w:spacing w:after="0" w:line="240" w:lineRule="auto"/>
              <w:ind w:firstLineChars="100" w:firstLine="160"/>
              <w:rPr>
                <w:rFonts w:ascii="Swiss 721" w:eastAsia="Times New Roman" w:hAnsi="Swiss 721" w:cs="Times New Roman"/>
                <w:sz w:val="16"/>
                <w:szCs w:val="16"/>
              </w:rPr>
            </w:pPr>
            <w:r w:rsidRPr="00C67EC0">
              <w:rPr>
                <w:rFonts w:ascii="Swiss 721" w:eastAsia="Times New Roman" w:hAnsi="Swiss 721" w:cs="Times New Roman"/>
                <w:sz w:val="16"/>
                <w:szCs w:val="16"/>
              </w:rPr>
              <w:t>Exproprieri &amp; retele</w:t>
            </w:r>
          </w:p>
        </w:tc>
        <w:tc>
          <w:tcPr>
            <w:tcW w:w="1660" w:type="dxa"/>
            <w:tcBorders>
              <w:top w:val="nil"/>
              <w:left w:val="single" w:sz="4" w:space="0" w:color="75923C"/>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200 k€</w:t>
            </w:r>
          </w:p>
        </w:tc>
        <w:tc>
          <w:tcPr>
            <w:tcW w:w="1660" w:type="dxa"/>
            <w:tcBorders>
              <w:top w:val="nil"/>
              <w:left w:val="nil"/>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380 k€</w:t>
            </w:r>
          </w:p>
        </w:tc>
        <w:tc>
          <w:tcPr>
            <w:tcW w:w="1660" w:type="dxa"/>
            <w:tcBorders>
              <w:top w:val="nil"/>
              <w:left w:val="nil"/>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900 k€</w:t>
            </w:r>
          </w:p>
        </w:tc>
        <w:tc>
          <w:tcPr>
            <w:tcW w:w="1660" w:type="dxa"/>
            <w:tcBorders>
              <w:top w:val="nil"/>
              <w:left w:val="nil"/>
              <w:bottom w:val="nil"/>
              <w:right w:val="single" w:sz="4" w:space="0" w:color="75923C"/>
            </w:tcBorders>
            <w:shd w:val="clear" w:color="auto" w:fill="auto"/>
            <w:noWrap/>
            <w:vAlign w:val="center"/>
            <w:hideMark/>
          </w:tcPr>
          <w:p w:rsidR="00C67EC0" w:rsidRPr="00C67EC0" w:rsidRDefault="00C67EC0" w:rsidP="00B940F9">
            <w:pPr>
              <w:spacing w:after="0" w:line="240" w:lineRule="auto"/>
              <w:jc w:val="center"/>
              <w:rPr>
                <w:rFonts w:ascii="Swiss 721" w:eastAsia="Times New Roman" w:hAnsi="Swiss 721" w:cs="Times New Roman"/>
                <w:sz w:val="16"/>
                <w:szCs w:val="16"/>
              </w:rPr>
            </w:pPr>
            <w:r w:rsidRPr="00C67EC0">
              <w:rPr>
                <w:rFonts w:ascii="Swiss 721" w:eastAsia="Times New Roman" w:hAnsi="Swiss 721" w:cs="Times New Roman"/>
                <w:sz w:val="16"/>
                <w:szCs w:val="16"/>
              </w:rPr>
              <w:t>1,480 k€</w:t>
            </w:r>
          </w:p>
        </w:tc>
      </w:tr>
      <w:tr w:rsidR="00C67EC0" w:rsidRPr="00C67EC0" w:rsidTr="00C67EC0">
        <w:trPr>
          <w:trHeight w:val="240"/>
        </w:trPr>
        <w:tc>
          <w:tcPr>
            <w:tcW w:w="4396" w:type="dxa"/>
            <w:tcBorders>
              <w:top w:val="nil"/>
              <w:left w:val="single" w:sz="4" w:space="0" w:color="75923C"/>
              <w:bottom w:val="nil"/>
              <w:right w:val="nil"/>
            </w:tcBorders>
            <w:shd w:val="clear" w:color="auto" w:fill="auto"/>
            <w:noWrap/>
            <w:vAlign w:val="bottom"/>
            <w:hideMark/>
          </w:tcPr>
          <w:p w:rsidR="00C67EC0" w:rsidRPr="00C67EC0" w:rsidRDefault="00C67EC0" w:rsidP="00C67EC0">
            <w:pPr>
              <w:spacing w:after="0" w:line="240" w:lineRule="auto"/>
              <w:ind w:firstLineChars="100" w:firstLine="160"/>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Lucrari subterane</w:t>
            </w:r>
          </w:p>
        </w:tc>
        <w:tc>
          <w:tcPr>
            <w:tcW w:w="1660" w:type="dxa"/>
            <w:tcBorders>
              <w:top w:val="nil"/>
              <w:left w:val="single" w:sz="4" w:space="0" w:color="75923C"/>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2,120 k€</w:t>
            </w:r>
          </w:p>
        </w:tc>
        <w:tc>
          <w:tcPr>
            <w:tcW w:w="1660" w:type="dxa"/>
            <w:tcBorders>
              <w:top w:val="nil"/>
              <w:left w:val="nil"/>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4,310 k€</w:t>
            </w:r>
          </w:p>
        </w:tc>
        <w:tc>
          <w:tcPr>
            <w:tcW w:w="1660" w:type="dxa"/>
            <w:tcBorders>
              <w:top w:val="nil"/>
              <w:left w:val="nil"/>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3,520 k€</w:t>
            </w:r>
          </w:p>
        </w:tc>
        <w:tc>
          <w:tcPr>
            <w:tcW w:w="1660" w:type="dxa"/>
            <w:tcBorders>
              <w:top w:val="nil"/>
              <w:left w:val="nil"/>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9,950 k€</w:t>
            </w:r>
          </w:p>
        </w:tc>
      </w:tr>
      <w:tr w:rsidR="00C67EC0" w:rsidRPr="00C67EC0" w:rsidTr="00C67EC0">
        <w:trPr>
          <w:trHeight w:val="240"/>
        </w:trPr>
        <w:tc>
          <w:tcPr>
            <w:tcW w:w="4396" w:type="dxa"/>
            <w:tcBorders>
              <w:top w:val="nil"/>
              <w:left w:val="single" w:sz="4" w:space="0" w:color="75923C"/>
              <w:bottom w:val="nil"/>
              <w:right w:val="nil"/>
            </w:tcBorders>
            <w:shd w:val="clear" w:color="auto" w:fill="auto"/>
            <w:noWrap/>
            <w:vAlign w:val="bottom"/>
            <w:hideMark/>
          </w:tcPr>
          <w:p w:rsidR="00C67EC0" w:rsidRPr="00C67EC0" w:rsidRDefault="00C67EC0" w:rsidP="00C67EC0">
            <w:pPr>
              <w:spacing w:after="0" w:line="240" w:lineRule="auto"/>
              <w:ind w:firstLineChars="100" w:firstLine="160"/>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Echipamente de operare</w:t>
            </w:r>
          </w:p>
        </w:tc>
        <w:tc>
          <w:tcPr>
            <w:tcW w:w="1660" w:type="dxa"/>
            <w:tcBorders>
              <w:top w:val="nil"/>
              <w:left w:val="single" w:sz="4" w:space="0" w:color="75923C"/>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340 k€</w:t>
            </w:r>
          </w:p>
        </w:tc>
        <w:tc>
          <w:tcPr>
            <w:tcW w:w="1660" w:type="dxa"/>
            <w:tcBorders>
              <w:top w:val="nil"/>
              <w:left w:val="nil"/>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640 k€</w:t>
            </w:r>
          </w:p>
        </w:tc>
        <w:tc>
          <w:tcPr>
            <w:tcW w:w="1660" w:type="dxa"/>
            <w:tcBorders>
              <w:top w:val="nil"/>
              <w:left w:val="nil"/>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520 k€</w:t>
            </w:r>
          </w:p>
        </w:tc>
        <w:tc>
          <w:tcPr>
            <w:tcW w:w="1660" w:type="dxa"/>
            <w:tcBorders>
              <w:top w:val="nil"/>
              <w:left w:val="nil"/>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1,500 k€</w:t>
            </w:r>
          </w:p>
        </w:tc>
      </w:tr>
      <w:tr w:rsidR="00C67EC0" w:rsidRPr="00C67EC0" w:rsidTr="00C67EC0">
        <w:trPr>
          <w:trHeight w:val="240"/>
        </w:trPr>
        <w:tc>
          <w:tcPr>
            <w:tcW w:w="4396" w:type="dxa"/>
            <w:tcBorders>
              <w:top w:val="nil"/>
              <w:left w:val="single" w:sz="4" w:space="0" w:color="75923C"/>
              <w:bottom w:val="nil"/>
              <w:right w:val="nil"/>
            </w:tcBorders>
            <w:shd w:val="clear" w:color="auto" w:fill="auto"/>
            <w:noWrap/>
            <w:vAlign w:val="bottom"/>
            <w:hideMark/>
          </w:tcPr>
          <w:p w:rsidR="00C67EC0" w:rsidRPr="00C67EC0" w:rsidRDefault="00C67EC0" w:rsidP="00C67EC0">
            <w:pPr>
              <w:spacing w:after="0" w:line="240" w:lineRule="auto"/>
              <w:ind w:firstLineChars="100" w:firstLine="160"/>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Lucrari la suprafata</w:t>
            </w:r>
          </w:p>
        </w:tc>
        <w:tc>
          <w:tcPr>
            <w:tcW w:w="1660" w:type="dxa"/>
            <w:tcBorders>
              <w:top w:val="nil"/>
              <w:left w:val="single" w:sz="4" w:space="0" w:color="75923C"/>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1,060 k€</w:t>
            </w:r>
          </w:p>
        </w:tc>
        <w:tc>
          <w:tcPr>
            <w:tcW w:w="1660" w:type="dxa"/>
            <w:tcBorders>
              <w:top w:val="nil"/>
              <w:left w:val="nil"/>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1,120 k€</w:t>
            </w:r>
          </w:p>
        </w:tc>
        <w:tc>
          <w:tcPr>
            <w:tcW w:w="1660" w:type="dxa"/>
            <w:tcBorders>
              <w:top w:val="nil"/>
              <w:left w:val="nil"/>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1,240 k€</w:t>
            </w:r>
          </w:p>
        </w:tc>
        <w:tc>
          <w:tcPr>
            <w:tcW w:w="1660" w:type="dxa"/>
            <w:tcBorders>
              <w:top w:val="nil"/>
              <w:left w:val="nil"/>
              <w:bottom w:val="nil"/>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3,420 k€</w:t>
            </w:r>
          </w:p>
        </w:tc>
      </w:tr>
      <w:tr w:rsidR="00C67EC0" w:rsidRPr="00C67EC0" w:rsidTr="00C67EC0">
        <w:trPr>
          <w:trHeight w:val="240"/>
        </w:trPr>
        <w:tc>
          <w:tcPr>
            <w:tcW w:w="4396" w:type="dxa"/>
            <w:tcBorders>
              <w:top w:val="nil"/>
              <w:left w:val="single" w:sz="4" w:space="0" w:color="75923C"/>
              <w:bottom w:val="single" w:sz="4" w:space="0" w:color="75923C"/>
              <w:right w:val="nil"/>
            </w:tcBorders>
            <w:shd w:val="clear" w:color="auto" w:fill="auto"/>
            <w:noWrap/>
            <w:vAlign w:val="bottom"/>
            <w:hideMark/>
          </w:tcPr>
          <w:p w:rsidR="00C67EC0" w:rsidRPr="00C67EC0" w:rsidRDefault="00C67EC0" w:rsidP="00C67EC0">
            <w:pPr>
              <w:spacing w:after="0" w:line="240" w:lineRule="auto"/>
              <w:ind w:firstLineChars="100" w:firstLine="160"/>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 xml:space="preserve">Provizioane financiare </w:t>
            </w:r>
          </w:p>
        </w:tc>
        <w:tc>
          <w:tcPr>
            <w:tcW w:w="1660" w:type="dxa"/>
            <w:tcBorders>
              <w:top w:val="nil"/>
              <w:left w:val="single" w:sz="4" w:space="0" w:color="75923C"/>
              <w:bottom w:val="single" w:sz="4" w:space="0" w:color="75923C"/>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410 k€</w:t>
            </w:r>
          </w:p>
        </w:tc>
        <w:tc>
          <w:tcPr>
            <w:tcW w:w="1660" w:type="dxa"/>
            <w:tcBorders>
              <w:top w:val="nil"/>
              <w:left w:val="nil"/>
              <w:bottom w:val="single" w:sz="4" w:space="0" w:color="75923C"/>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720 k€</w:t>
            </w:r>
          </w:p>
        </w:tc>
        <w:tc>
          <w:tcPr>
            <w:tcW w:w="1660" w:type="dxa"/>
            <w:tcBorders>
              <w:top w:val="nil"/>
              <w:left w:val="nil"/>
              <w:bottom w:val="single" w:sz="4" w:space="0" w:color="75923C"/>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690 k€</w:t>
            </w:r>
          </w:p>
        </w:tc>
        <w:tc>
          <w:tcPr>
            <w:tcW w:w="1660" w:type="dxa"/>
            <w:tcBorders>
              <w:top w:val="nil"/>
              <w:left w:val="nil"/>
              <w:bottom w:val="single" w:sz="4" w:space="0" w:color="75923C"/>
              <w:right w:val="single" w:sz="4" w:space="0" w:color="75923C"/>
            </w:tcBorders>
            <w:shd w:val="clear" w:color="auto" w:fill="auto"/>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1,820 k€</w:t>
            </w:r>
          </w:p>
        </w:tc>
      </w:tr>
      <w:tr w:rsidR="00C67EC0" w:rsidRPr="00C67EC0" w:rsidTr="00C67EC0">
        <w:trPr>
          <w:trHeight w:val="240"/>
        </w:trPr>
        <w:tc>
          <w:tcPr>
            <w:tcW w:w="4396" w:type="dxa"/>
            <w:tcBorders>
              <w:top w:val="nil"/>
              <w:left w:val="single" w:sz="4" w:space="0" w:color="75923C"/>
              <w:bottom w:val="single" w:sz="4" w:space="0" w:color="75923C"/>
              <w:right w:val="nil"/>
            </w:tcBorders>
            <w:shd w:val="clear" w:color="000000" w:fill="EAF1DD"/>
            <w:noWrap/>
            <w:vAlign w:val="bottom"/>
            <w:hideMark/>
          </w:tcPr>
          <w:p w:rsidR="00C67EC0" w:rsidRPr="00C67EC0" w:rsidRDefault="00C67EC0" w:rsidP="00C67EC0">
            <w:pPr>
              <w:spacing w:after="0" w:line="240" w:lineRule="auto"/>
              <w:ind w:firstLineChars="100" w:firstLine="160"/>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Total</w:t>
            </w:r>
          </w:p>
        </w:tc>
        <w:tc>
          <w:tcPr>
            <w:tcW w:w="1660" w:type="dxa"/>
            <w:tcBorders>
              <w:top w:val="nil"/>
              <w:left w:val="single" w:sz="4" w:space="0" w:color="75923C"/>
              <w:bottom w:val="single" w:sz="4" w:space="0" w:color="75923C"/>
              <w:right w:val="single" w:sz="4" w:space="0" w:color="75923C"/>
            </w:tcBorders>
            <w:shd w:val="clear" w:color="000000" w:fill="EAF1DD"/>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4,560 k€</w:t>
            </w:r>
          </w:p>
        </w:tc>
        <w:tc>
          <w:tcPr>
            <w:tcW w:w="1660" w:type="dxa"/>
            <w:tcBorders>
              <w:top w:val="nil"/>
              <w:left w:val="nil"/>
              <w:bottom w:val="single" w:sz="4" w:space="0" w:color="75923C"/>
              <w:right w:val="single" w:sz="4" w:space="0" w:color="75923C"/>
            </w:tcBorders>
            <w:shd w:val="clear" w:color="000000" w:fill="EAF1DD"/>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7,880 k€</w:t>
            </w:r>
          </w:p>
        </w:tc>
        <w:tc>
          <w:tcPr>
            <w:tcW w:w="1660" w:type="dxa"/>
            <w:tcBorders>
              <w:top w:val="nil"/>
              <w:left w:val="nil"/>
              <w:bottom w:val="single" w:sz="4" w:space="0" w:color="75923C"/>
              <w:right w:val="single" w:sz="4" w:space="0" w:color="75923C"/>
            </w:tcBorders>
            <w:shd w:val="clear" w:color="000000" w:fill="EAF1DD"/>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7,560 k€</w:t>
            </w:r>
          </w:p>
        </w:tc>
        <w:tc>
          <w:tcPr>
            <w:tcW w:w="1660" w:type="dxa"/>
            <w:tcBorders>
              <w:top w:val="nil"/>
              <w:left w:val="nil"/>
              <w:bottom w:val="single" w:sz="4" w:space="0" w:color="75923C"/>
              <w:right w:val="single" w:sz="4" w:space="0" w:color="75923C"/>
            </w:tcBorders>
            <w:shd w:val="clear" w:color="000000" w:fill="EAF1DD"/>
            <w:noWrap/>
            <w:vAlign w:val="bottom"/>
            <w:hideMark/>
          </w:tcPr>
          <w:p w:rsidR="00C67EC0" w:rsidRPr="00C67EC0" w:rsidRDefault="00C67EC0" w:rsidP="00B940F9">
            <w:pPr>
              <w:spacing w:after="0" w:line="240" w:lineRule="auto"/>
              <w:jc w:val="center"/>
              <w:rPr>
                <w:rFonts w:ascii="Swiss 721" w:eastAsia="Times New Roman" w:hAnsi="Swiss 721" w:cs="Times New Roman"/>
                <w:color w:val="000000"/>
                <w:sz w:val="16"/>
                <w:szCs w:val="16"/>
              </w:rPr>
            </w:pPr>
            <w:r w:rsidRPr="00C67EC0">
              <w:rPr>
                <w:rFonts w:ascii="Swiss 721" w:eastAsia="Times New Roman" w:hAnsi="Swiss 721" w:cs="Times New Roman"/>
                <w:color w:val="000000"/>
                <w:sz w:val="16"/>
                <w:szCs w:val="16"/>
              </w:rPr>
              <w:t>20,000 k€</w:t>
            </w:r>
          </w:p>
        </w:tc>
      </w:tr>
      <w:tr w:rsidR="00C67EC0" w:rsidRPr="00C67EC0" w:rsidTr="00C67EC0">
        <w:trPr>
          <w:trHeight w:val="240"/>
        </w:trPr>
        <w:tc>
          <w:tcPr>
            <w:tcW w:w="4396" w:type="dxa"/>
            <w:tcBorders>
              <w:top w:val="nil"/>
              <w:left w:val="nil"/>
              <w:bottom w:val="nil"/>
              <w:right w:val="nil"/>
            </w:tcBorders>
            <w:shd w:val="clear" w:color="000000" w:fill="FFFFFF"/>
            <w:vAlign w:val="bottom"/>
            <w:hideMark/>
          </w:tcPr>
          <w:p w:rsidR="00C67EC0" w:rsidRPr="00C67EC0" w:rsidRDefault="00C67EC0" w:rsidP="00C67EC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4180"/>
            </w:tblGrid>
            <w:tr w:rsidR="00C67EC0" w:rsidRPr="00C67EC0">
              <w:trPr>
                <w:trHeight w:val="240"/>
                <w:tblCellSpacing w:w="0" w:type="dxa"/>
              </w:trPr>
              <w:tc>
                <w:tcPr>
                  <w:tcW w:w="4180" w:type="dxa"/>
                  <w:tcBorders>
                    <w:top w:val="nil"/>
                    <w:left w:val="nil"/>
                    <w:bottom w:val="nil"/>
                    <w:right w:val="nil"/>
                  </w:tcBorders>
                  <w:shd w:val="clear" w:color="auto" w:fill="auto"/>
                  <w:noWrap/>
                  <w:vAlign w:val="bottom"/>
                  <w:hideMark/>
                </w:tcPr>
                <w:p w:rsidR="00C67EC0" w:rsidRPr="00C67EC0" w:rsidRDefault="00510F74" w:rsidP="00C67EC0">
                  <w:pPr>
                    <w:spacing w:after="0" w:line="240" w:lineRule="auto"/>
                    <w:rPr>
                      <w:rFonts w:ascii="Swiss 721" w:eastAsia="Times New Roman" w:hAnsi="Swiss 721" w:cs="Times New Roman"/>
                      <w:color w:val="000000"/>
                      <w:sz w:val="16"/>
                      <w:szCs w:val="16"/>
                    </w:rPr>
                  </w:pPr>
                  <w:r>
                    <w:rPr>
                      <w:rFonts w:ascii="Swiss 721" w:eastAsia="Times New Roman" w:hAnsi="Swiss 721" w:cs="Times New Roman"/>
                      <w:noProof/>
                      <w:color w:val="000000"/>
                      <w:sz w:val="16"/>
                      <w:szCs w:val="16"/>
                      <w:lang w:val="ro-RO" w:eastAsia="ro-RO"/>
                    </w:rPr>
                    <w:drawing>
                      <wp:anchor distT="0" distB="0" distL="114300" distR="114300" simplePos="0" relativeHeight="251661312" behindDoc="0" locked="0" layoutInCell="1" allowOverlap="1">
                        <wp:simplePos x="0" y="0"/>
                        <wp:positionH relativeFrom="column">
                          <wp:posOffset>-15875</wp:posOffset>
                        </wp:positionH>
                        <wp:positionV relativeFrom="paragraph">
                          <wp:posOffset>80010</wp:posOffset>
                        </wp:positionV>
                        <wp:extent cx="7858125" cy="3543300"/>
                        <wp:effectExtent l="19050" t="0" r="9525" b="0"/>
                        <wp:wrapNone/>
                        <wp:docPr id="2"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tc>
            </w:tr>
          </w:tbl>
          <w:p w:rsidR="00C67EC0" w:rsidRPr="00C67EC0" w:rsidRDefault="00C67EC0" w:rsidP="00C67EC0">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25"/>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25"/>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r w:rsidR="00C67EC0" w:rsidRPr="00C67EC0" w:rsidTr="00C67EC0">
        <w:trPr>
          <w:trHeight w:val="240"/>
        </w:trPr>
        <w:tc>
          <w:tcPr>
            <w:tcW w:w="4396"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c>
          <w:tcPr>
            <w:tcW w:w="1660" w:type="dxa"/>
            <w:tcBorders>
              <w:top w:val="nil"/>
              <w:left w:val="nil"/>
              <w:bottom w:val="nil"/>
              <w:right w:val="nil"/>
            </w:tcBorders>
            <w:shd w:val="clear" w:color="auto" w:fill="auto"/>
            <w:noWrap/>
            <w:vAlign w:val="bottom"/>
            <w:hideMark/>
          </w:tcPr>
          <w:p w:rsidR="00C67EC0" w:rsidRPr="00C67EC0" w:rsidRDefault="00C67EC0" w:rsidP="00C67EC0">
            <w:pPr>
              <w:spacing w:after="0" w:line="240" w:lineRule="auto"/>
              <w:rPr>
                <w:rFonts w:ascii="Swiss 721" w:eastAsia="Times New Roman" w:hAnsi="Swiss 721" w:cs="Times New Roman"/>
                <w:color w:val="000000"/>
              </w:rPr>
            </w:pPr>
          </w:p>
        </w:tc>
      </w:tr>
    </w:tbl>
    <w:p w:rsidR="00C67EC0" w:rsidRDefault="00C67EC0" w:rsidP="00147234">
      <w:pPr>
        <w:rPr>
          <w:rFonts w:ascii="Arial" w:hAnsi="Arial" w:cs="Arial"/>
          <w:b/>
          <w:sz w:val="24"/>
          <w:szCs w:val="24"/>
        </w:rPr>
      </w:pPr>
    </w:p>
    <w:p w:rsidR="00510F74" w:rsidRDefault="00510F74" w:rsidP="00147234">
      <w:pPr>
        <w:rPr>
          <w:rFonts w:ascii="Arial" w:hAnsi="Arial" w:cs="Arial"/>
          <w:b/>
          <w:sz w:val="24"/>
          <w:szCs w:val="24"/>
        </w:rPr>
      </w:pPr>
    </w:p>
    <w:p w:rsidR="00510F74" w:rsidRDefault="00510F74" w:rsidP="00147234">
      <w:pPr>
        <w:rPr>
          <w:rFonts w:ascii="Arial" w:hAnsi="Arial" w:cs="Arial"/>
          <w:b/>
          <w:sz w:val="24"/>
          <w:szCs w:val="24"/>
        </w:rPr>
      </w:pPr>
    </w:p>
    <w:p w:rsidR="00510F74" w:rsidRDefault="00510F74" w:rsidP="00147234">
      <w:pPr>
        <w:rPr>
          <w:rFonts w:ascii="Arial" w:hAnsi="Arial" w:cs="Arial"/>
          <w:b/>
          <w:sz w:val="24"/>
          <w:szCs w:val="24"/>
        </w:rPr>
      </w:pPr>
    </w:p>
    <w:p w:rsidR="00510F74" w:rsidRDefault="00510F74" w:rsidP="00147234">
      <w:pPr>
        <w:rPr>
          <w:rFonts w:ascii="Arial" w:hAnsi="Arial" w:cs="Arial"/>
          <w:b/>
          <w:sz w:val="24"/>
          <w:szCs w:val="24"/>
        </w:rPr>
      </w:pPr>
    </w:p>
    <w:p w:rsidR="00510F74" w:rsidRDefault="00510F74" w:rsidP="00147234">
      <w:pPr>
        <w:rPr>
          <w:rFonts w:ascii="Arial" w:hAnsi="Arial" w:cs="Arial"/>
          <w:b/>
          <w:sz w:val="24"/>
          <w:szCs w:val="24"/>
        </w:rPr>
      </w:pPr>
    </w:p>
    <w:p w:rsidR="00D61138" w:rsidRPr="009546D1" w:rsidRDefault="00D61138" w:rsidP="00147234">
      <w:pPr>
        <w:rPr>
          <w:rFonts w:ascii="Arial" w:hAnsi="Arial" w:cs="Arial"/>
          <w:b/>
          <w:sz w:val="24"/>
          <w:szCs w:val="24"/>
        </w:rPr>
      </w:pPr>
      <w:r w:rsidRPr="009546D1">
        <w:rPr>
          <w:rFonts w:ascii="Arial" w:hAnsi="Arial" w:cs="Arial"/>
          <w:b/>
          <w:sz w:val="24"/>
          <w:szCs w:val="24"/>
        </w:rPr>
        <w:lastRenderedPageBreak/>
        <w:t>Principalele faze de executie</w:t>
      </w:r>
      <w:r w:rsidR="00176C84" w:rsidRPr="009546D1">
        <w:rPr>
          <w:rFonts w:ascii="Arial" w:hAnsi="Arial" w:cs="Arial"/>
          <w:b/>
          <w:sz w:val="24"/>
          <w:szCs w:val="24"/>
        </w:rPr>
        <w:t xml:space="preserve"> A4</w:t>
      </w:r>
    </w:p>
    <w:p w:rsidR="00D61138" w:rsidRDefault="00D61138" w:rsidP="00147234">
      <w:pPr>
        <w:rPr>
          <w:rFonts w:ascii="Arial" w:hAnsi="Arial" w:cs="Arial"/>
          <w:b/>
        </w:rPr>
      </w:pPr>
      <w:r w:rsidRPr="00D61138">
        <w:rPr>
          <w:rFonts w:ascii="Arial" w:hAnsi="Arial" w:cs="Arial"/>
          <w:b/>
          <w:noProof/>
          <w:lang w:val="ro-RO" w:eastAsia="ro-RO"/>
        </w:rPr>
        <w:drawing>
          <wp:inline distT="0" distB="0" distL="0" distR="0">
            <wp:extent cx="5534025" cy="3243328"/>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age_Page_2.jpg"/>
                    <pic:cNvPicPr/>
                  </pic:nvPicPr>
                  <pic:blipFill rotWithShape="1">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5537879" cy="32455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57FAA" w:rsidRPr="00986021" w:rsidRDefault="00157FAA" w:rsidP="00157FAA">
      <w:pPr>
        <w:pStyle w:val="BodyText"/>
        <w:rPr>
          <w:rFonts w:ascii="Arial" w:hAnsi="Arial" w:cs="Arial"/>
          <w:sz w:val="24"/>
          <w:szCs w:val="24"/>
        </w:rPr>
      </w:pPr>
      <w:r w:rsidRPr="00986021">
        <w:rPr>
          <w:rFonts w:ascii="Arial" w:hAnsi="Arial" w:cs="Arial"/>
          <w:sz w:val="24"/>
          <w:szCs w:val="24"/>
        </w:rPr>
        <w:t>Amenajarile sectorului central au anumite similaritati cu cele din Varianta A 1. Modificarile sunt aduse urmatoarelor elemente :</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Modificarea liniei de tramvai.</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 xml:space="preserve">Jumatatea de pasaj Nord / Sud este mai scurta : 140m in loc de 250m. </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 xml:space="preserve">Jumatatea de pasaj Sud / Nord cuprinde o a patra banda pentru breteaua Vest catre Str. Independentei. </w:t>
      </w:r>
    </w:p>
    <w:p w:rsidR="00157FAA" w:rsidRPr="00986021" w:rsidRDefault="00157FAA" w:rsidP="00157FAA">
      <w:pPr>
        <w:pStyle w:val="BodyText"/>
        <w:rPr>
          <w:rFonts w:ascii="Arial" w:hAnsi="Arial" w:cs="Arial"/>
          <w:sz w:val="24"/>
          <w:szCs w:val="24"/>
        </w:rPr>
      </w:pPr>
      <w:r w:rsidRPr="00986021">
        <w:rPr>
          <w:rFonts w:ascii="Arial" w:hAnsi="Arial" w:cs="Arial"/>
          <w:sz w:val="24"/>
          <w:szCs w:val="24"/>
        </w:rPr>
        <w:t xml:space="preserve">Amenajarile din </w:t>
      </w:r>
      <w:r w:rsidR="00302F8D" w:rsidRPr="00986021">
        <w:rPr>
          <w:rFonts w:ascii="Arial" w:hAnsi="Arial" w:cs="Arial"/>
          <w:sz w:val="24"/>
          <w:szCs w:val="24"/>
        </w:rPr>
        <w:t xml:space="preserve">giratie </w:t>
      </w:r>
      <w:r w:rsidRPr="00986021">
        <w:rPr>
          <w:rFonts w:ascii="Arial" w:hAnsi="Arial" w:cs="Arial"/>
          <w:sz w:val="24"/>
          <w:szCs w:val="24"/>
        </w:rPr>
        <w:t>sunt mai complexe. Ele cuprind trei pasaje subterane :</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Pasajul subteran de pe Calea Maresal Averescu pe sub cele doua sensuri de circulatie pe DN76 si pe sub linia de t</w:t>
      </w:r>
      <w:r w:rsidR="00302F8D" w:rsidRPr="00986021">
        <w:rPr>
          <w:rFonts w:ascii="Arial" w:hAnsi="Arial" w:cs="Arial"/>
          <w:sz w:val="24"/>
          <w:szCs w:val="24"/>
        </w:rPr>
        <w:t>ramvai</w:t>
      </w:r>
      <w:r w:rsidRPr="00986021">
        <w:rPr>
          <w:rFonts w:ascii="Arial" w:hAnsi="Arial" w:cs="Arial"/>
          <w:sz w:val="24"/>
          <w:szCs w:val="24"/>
        </w:rPr>
        <w:t xml:space="preserve"> </w:t>
      </w:r>
      <w:r w:rsidR="00302F8D" w:rsidRPr="00986021">
        <w:rPr>
          <w:rFonts w:ascii="Arial" w:hAnsi="Arial" w:cs="Arial"/>
          <w:sz w:val="24"/>
          <w:szCs w:val="24"/>
        </w:rPr>
        <w:t>(identica celei din Varianta A 1)</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 xml:space="preserve">Pasajul subteran al bretelei dinspre Nord catre Calea Clujului, pe sub cele doua sensuri de circulatie pe DN76 si pe sub linia de tramvai. </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Pasajul subteran mentionat mai sus intre Sud si Str. Independentei. Este asemanator celor doua pasaje subterane deja mentionate mai sus.</w:t>
      </w:r>
    </w:p>
    <w:p w:rsidR="00157FAA" w:rsidRPr="00986021" w:rsidRDefault="00157FAA" w:rsidP="00157FAA">
      <w:pPr>
        <w:pStyle w:val="BodyText"/>
        <w:rPr>
          <w:rFonts w:ascii="Arial" w:hAnsi="Arial" w:cs="Arial"/>
          <w:sz w:val="24"/>
          <w:szCs w:val="24"/>
        </w:rPr>
      </w:pPr>
      <w:r w:rsidRPr="00986021">
        <w:rPr>
          <w:rFonts w:ascii="Arial" w:hAnsi="Arial" w:cs="Arial"/>
          <w:sz w:val="24"/>
          <w:szCs w:val="24"/>
        </w:rPr>
        <w:lastRenderedPageBreak/>
        <w:t>Conditiile de executie ale pasajului subteran din sectorul central si a lucrarilor din Piata Independentei sunt mult mai complicate si vor necesita studii detaliate ale fiecarei faze de lucrari, precum si devieri extinse de trafic, de o amplitudine superioara celor mentionate pentru Varianta A 1.</w:t>
      </w:r>
    </w:p>
    <w:p w:rsidR="00B06A28" w:rsidRPr="00986021" w:rsidRDefault="00B06A28" w:rsidP="00157FAA">
      <w:pPr>
        <w:pStyle w:val="BodyText"/>
        <w:rPr>
          <w:rFonts w:ascii="Arial" w:hAnsi="Arial" w:cs="Arial"/>
          <w:sz w:val="24"/>
          <w:szCs w:val="24"/>
        </w:rPr>
      </w:pPr>
    </w:p>
    <w:p w:rsidR="00157FAA" w:rsidRPr="00986021" w:rsidRDefault="00157FAA" w:rsidP="00157FAA">
      <w:pPr>
        <w:pStyle w:val="BodyText"/>
        <w:rPr>
          <w:rFonts w:ascii="Arial" w:hAnsi="Arial" w:cs="Arial"/>
          <w:sz w:val="24"/>
          <w:szCs w:val="24"/>
        </w:rPr>
      </w:pPr>
      <w:r w:rsidRPr="00986021">
        <w:rPr>
          <w:rFonts w:ascii="Arial" w:hAnsi="Arial" w:cs="Arial"/>
          <w:sz w:val="24"/>
          <w:szCs w:val="24"/>
        </w:rPr>
        <w:t>Fazele de ex</w:t>
      </w:r>
      <w:r w:rsidR="0038503D" w:rsidRPr="00986021">
        <w:rPr>
          <w:rFonts w:ascii="Arial" w:hAnsi="Arial" w:cs="Arial"/>
          <w:sz w:val="24"/>
          <w:szCs w:val="24"/>
        </w:rPr>
        <w:t>ecutie cuprind</w:t>
      </w:r>
      <w:r w:rsidRPr="00986021">
        <w:rPr>
          <w:rFonts w:ascii="Arial" w:hAnsi="Arial" w:cs="Arial"/>
          <w:sz w:val="24"/>
          <w:szCs w:val="24"/>
        </w:rPr>
        <w:t xml:space="preserve"> u</w:t>
      </w:r>
      <w:r w:rsidR="0038503D" w:rsidRPr="00986021">
        <w:rPr>
          <w:rFonts w:ascii="Arial" w:hAnsi="Arial" w:cs="Arial"/>
          <w:sz w:val="24"/>
          <w:szCs w:val="24"/>
        </w:rPr>
        <w:t>rmatoarele etape</w:t>
      </w:r>
      <w:r w:rsidRPr="00986021">
        <w:rPr>
          <w:rFonts w:ascii="Arial" w:hAnsi="Arial" w:cs="Arial"/>
          <w:sz w:val="24"/>
          <w:szCs w:val="24"/>
        </w:rPr>
        <w:t>:</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1 – construirea pasajului subteran pe Calea Maresal Averescu,</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 xml:space="preserve">2 </w:t>
      </w:r>
      <w:r w:rsidR="00CC5D21">
        <w:rPr>
          <w:rFonts w:ascii="Arial" w:hAnsi="Arial" w:cs="Arial"/>
          <w:sz w:val="24"/>
          <w:szCs w:val="24"/>
        </w:rPr>
        <w:t>si</w:t>
      </w:r>
      <w:r w:rsidRPr="00986021">
        <w:rPr>
          <w:rFonts w:ascii="Arial" w:hAnsi="Arial" w:cs="Arial"/>
          <w:sz w:val="24"/>
          <w:szCs w:val="24"/>
        </w:rPr>
        <w:t xml:space="preserve"> 3 –devierea sensului Nord / Sud si a sensului Sud / Nord pe DN76,</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4 – construirea pasajului subteran al bretelei din directie Nord pe DN76 catre Calea Clujului, precum si al celui de pe breteaua dinspre Sud pe DN76 catre Str. Independentei,</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5 – construirea rampelor de acces Nord la pasajul subteran pe DN76, precum si a rampei de acces Sud / Est,</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6 – construirea pasajului subteran pe DN76,</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7 – construirea rampelor de acces la pasajul subteran de pe Calea Maresal Averescu, precum si a rampei de iesire Est a bretelei din directie Nord pe DN76 catre Calea Clujului,</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8 – relocarea liniilor de tramvai in noul amplasamant si punerea lor in serviciu,</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9 – instalarea echipamentelor de exploatare si securitate a jumatatii de pasaj subteran Sud / Nord si punerea lui in serviciu. Anularea devierii Sud / Nord a DN76,</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10 – construirea rampei de acces Sud / Vest a DN76,</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11 –instalarea echipamentelor de exploatare si securitate a jumatatii de pasaj subteran Nord / Sud si punerea in serviciu. Anularea devierii Nord / Sud a DN76. Punerea in serviciu a pasajului subteran de pe Calea Maresal Averescu,</w:t>
      </w:r>
    </w:p>
    <w:p w:rsidR="00157FAA" w:rsidRPr="00986021" w:rsidRDefault="00157FAA" w:rsidP="00157FAA">
      <w:pPr>
        <w:pStyle w:val="StylenumrationSwis721ExBT"/>
        <w:rPr>
          <w:rFonts w:ascii="Arial" w:hAnsi="Arial" w:cs="Arial"/>
          <w:sz w:val="24"/>
          <w:szCs w:val="24"/>
        </w:rPr>
      </w:pPr>
      <w:r w:rsidRPr="00986021">
        <w:rPr>
          <w:rFonts w:ascii="Arial" w:hAnsi="Arial" w:cs="Arial"/>
          <w:sz w:val="24"/>
          <w:szCs w:val="24"/>
        </w:rPr>
        <w:t>12 – construirea rampei de acces Nord la pasajul subteran al bretelei dinspre Nord pe DN76 catre Calea Clujului, precum si a rampei de acces Vest a bretelei dinspre Sud pe DN76 catre Str. Independentei. Punerea in serviciu a celor doua bretele.</w:t>
      </w:r>
    </w:p>
    <w:p w:rsidR="00157FAA" w:rsidRPr="00986021" w:rsidRDefault="00157FAA" w:rsidP="00157FAA">
      <w:pPr>
        <w:pStyle w:val="StylenumrationSwis721ExBT"/>
        <w:rPr>
          <w:rFonts w:ascii="Arial" w:hAnsi="Arial" w:cs="Arial"/>
          <w:sz w:val="24"/>
          <w:szCs w:val="24"/>
          <w:lang w:val="en-US"/>
        </w:rPr>
      </w:pPr>
      <w:r w:rsidRPr="00986021">
        <w:rPr>
          <w:rFonts w:ascii="Arial" w:hAnsi="Arial" w:cs="Arial"/>
          <w:sz w:val="24"/>
          <w:szCs w:val="24"/>
          <w:lang w:val="en-US"/>
        </w:rPr>
        <w:t>13 –realizarea amenajarilor peisagistice de suprafata.</w:t>
      </w:r>
    </w:p>
    <w:p w:rsidR="001B1228" w:rsidRPr="00986021" w:rsidRDefault="001B1228" w:rsidP="00147234">
      <w:pPr>
        <w:rPr>
          <w:rFonts w:ascii="Arial" w:hAnsi="Arial" w:cs="Arial"/>
          <w:b/>
          <w:sz w:val="24"/>
          <w:szCs w:val="24"/>
        </w:rPr>
      </w:pPr>
    </w:p>
    <w:p w:rsidR="001B1228" w:rsidRDefault="001B1228" w:rsidP="00147234">
      <w:pPr>
        <w:rPr>
          <w:rFonts w:ascii="Arial" w:hAnsi="Arial" w:cs="Arial"/>
          <w:b/>
        </w:rPr>
      </w:pPr>
    </w:p>
    <w:p w:rsidR="001B1228" w:rsidRDefault="001B1228" w:rsidP="00147234">
      <w:pPr>
        <w:rPr>
          <w:rFonts w:ascii="Arial" w:hAnsi="Arial" w:cs="Arial"/>
          <w:b/>
        </w:rPr>
      </w:pPr>
    </w:p>
    <w:p w:rsidR="001B1228" w:rsidRDefault="001B1228" w:rsidP="00147234">
      <w:pPr>
        <w:rPr>
          <w:rFonts w:ascii="Arial" w:hAnsi="Arial" w:cs="Arial"/>
          <w:b/>
        </w:rPr>
      </w:pPr>
    </w:p>
    <w:p w:rsidR="001B1228" w:rsidRDefault="001B1228" w:rsidP="00147234">
      <w:pPr>
        <w:rPr>
          <w:rFonts w:ascii="Arial" w:hAnsi="Arial" w:cs="Arial"/>
          <w:b/>
        </w:rPr>
      </w:pPr>
    </w:p>
    <w:p w:rsidR="001B1228" w:rsidRDefault="001B1228" w:rsidP="00147234">
      <w:pPr>
        <w:rPr>
          <w:rFonts w:ascii="Arial" w:hAnsi="Arial" w:cs="Arial"/>
          <w:b/>
        </w:rPr>
      </w:pPr>
    </w:p>
    <w:sectPr w:rsidR="001B1228" w:rsidSect="006F4C7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Ex BT">
    <w:altName w:val="Arial"/>
    <w:charset w:val="00"/>
    <w:family w:val="swiss"/>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Swiss 721">
    <w:altName w:val="Arial"/>
    <w:charset w:val="00"/>
    <w:family w:val="auto"/>
    <w:pitch w:val="variable"/>
    <w:sig w:usb0="00000001" w:usb1="40000048" w:usb2="00000000" w:usb3="00000000" w:csb0="0000011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696A"/>
    <w:multiLevelType w:val="hybridMultilevel"/>
    <w:tmpl w:val="4852E40A"/>
    <w:lvl w:ilvl="0" w:tplc="F4D066CA">
      <w:start w:val="1"/>
      <w:numFmt w:val="bullet"/>
      <w:pStyle w:val="StylenumrationSwis721ExBT"/>
      <w:lvlText w:val=""/>
      <w:lvlJc w:val="left"/>
      <w:pPr>
        <w:tabs>
          <w:tab w:val="num" w:pos="725"/>
        </w:tabs>
        <w:ind w:left="725" w:hanging="360"/>
      </w:pPr>
      <w:rPr>
        <w:rFonts w:ascii="Wingdings 2" w:hAnsi="Wingdings 2" w:hint="default"/>
        <w:color w:val="99CC0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9977EB"/>
    <w:multiLevelType w:val="multilevel"/>
    <w:tmpl w:val="18108D8E"/>
    <w:lvl w:ilvl="0">
      <w:start w:val="1"/>
      <w:numFmt w:val="decimal"/>
      <w:lvlText w:val="%1"/>
      <w:lvlJc w:val="left"/>
      <w:pPr>
        <w:tabs>
          <w:tab w:val="num" w:pos="936"/>
        </w:tabs>
        <w:ind w:left="936" w:hanging="936"/>
      </w:pPr>
      <w:rPr>
        <w:rFonts w:ascii="Arial Gras" w:hAnsi="Arial Gras" w:hint="default"/>
        <w:b/>
        <w:i w:val="0"/>
        <w:caps/>
        <w:color w:val="005581"/>
        <w:sz w:val="28"/>
      </w:rPr>
    </w:lvl>
    <w:lvl w:ilvl="1">
      <w:start w:val="1"/>
      <w:numFmt w:val="decimal"/>
      <w:lvlText w:val="%1.%2"/>
      <w:lvlJc w:val="left"/>
      <w:pPr>
        <w:tabs>
          <w:tab w:val="num" w:pos="936"/>
        </w:tabs>
        <w:ind w:left="936" w:hanging="936"/>
      </w:pPr>
      <w:rPr>
        <w:rFonts w:ascii="Arial Gras" w:hAnsi="Arial Gras" w:hint="default"/>
        <w:b/>
        <w:i w:val="0"/>
        <w:color w:val="005480"/>
        <w:sz w:val="24"/>
      </w:rPr>
    </w:lvl>
    <w:lvl w:ilvl="2">
      <w:start w:val="1"/>
      <w:numFmt w:val="decimal"/>
      <w:lvlText w:val="%1.%2.%3"/>
      <w:lvlJc w:val="left"/>
      <w:pPr>
        <w:tabs>
          <w:tab w:val="num" w:pos="936"/>
        </w:tabs>
        <w:ind w:left="936" w:hanging="936"/>
      </w:pPr>
      <w:rPr>
        <w:rFonts w:ascii="Arial Gras" w:hAnsi="Arial Gras" w:hint="default"/>
        <w:b/>
        <w:i w:val="0"/>
        <w:color w:val="005480"/>
        <w:spacing w:val="-14"/>
        <w:sz w:val="22"/>
      </w:rPr>
    </w:lvl>
    <w:lvl w:ilvl="3">
      <w:start w:val="1"/>
      <w:numFmt w:val="decimal"/>
      <w:lvlText w:val="%1.%2.%3.%4"/>
      <w:lvlJc w:val="left"/>
      <w:pPr>
        <w:tabs>
          <w:tab w:val="num" w:pos="936"/>
        </w:tabs>
        <w:ind w:left="936" w:hanging="936"/>
      </w:pPr>
      <w:rPr>
        <w:rFonts w:ascii="Arial" w:hAnsi="Arial" w:hint="default"/>
        <w:b w:val="0"/>
        <w:i w:val="0"/>
        <w:color w:val="005581"/>
        <w:sz w:val="20"/>
      </w:rPr>
    </w:lvl>
    <w:lvl w:ilvl="4">
      <w:start w:val="1"/>
      <w:numFmt w:val="decimal"/>
      <w:lvlText w:val="%1.%2.%3.%4.%5"/>
      <w:lvlJc w:val="left"/>
      <w:pPr>
        <w:tabs>
          <w:tab w:val="num" w:pos="936"/>
        </w:tabs>
        <w:ind w:left="936" w:hanging="936"/>
      </w:pPr>
      <w:rPr>
        <w:rFonts w:ascii="Arial" w:hAnsi="Arial" w:hint="default"/>
        <w:b w:val="0"/>
        <w:i w:val="0"/>
        <w:caps w:val="0"/>
        <w:strike w:val="0"/>
        <w:dstrike w:val="0"/>
        <w:vanish w:val="0"/>
        <w:color w:val="auto"/>
        <w:sz w:val="18"/>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2">
    <w:nsid w:val="579F461D"/>
    <w:multiLevelType w:val="hybridMultilevel"/>
    <w:tmpl w:val="F7CE2568"/>
    <w:lvl w:ilvl="0" w:tplc="55FE7840">
      <w:start w:val="1"/>
      <w:numFmt w:val="decimal"/>
      <w:lvlText w:val="Appendix %1"/>
      <w:lvlJc w:val="right"/>
      <w:pPr>
        <w:tabs>
          <w:tab w:val="num" w:pos="1494"/>
        </w:tabs>
        <w:ind w:left="1494" w:hanging="360"/>
      </w:pPr>
      <w:rPr>
        <w:rFonts w:ascii="Swis721 Ex BT" w:hAnsi="Swis721 Ex BT" w:cs="Times New Roman" w:hint="default"/>
        <w:b/>
        <w:bCs w:val="0"/>
        <w:i w:val="0"/>
        <w:iCs w:val="0"/>
        <w:caps/>
        <w:strike w:val="0"/>
        <w:dstrike w:val="0"/>
        <w:vanish w:val="0"/>
        <w:color w:val="000000"/>
        <w:spacing w:val="0"/>
        <w:kern w:val="0"/>
        <w:position w:val="0"/>
        <w:sz w:val="24"/>
        <w:u w:val="none"/>
        <w:vertAlign w:val="baseline"/>
        <w:em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9EE4B5D"/>
    <w:multiLevelType w:val="hybridMultilevel"/>
    <w:tmpl w:val="E00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47B25"/>
    <w:multiLevelType w:val="hybridMultilevel"/>
    <w:tmpl w:val="946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6F4C75"/>
    <w:rsid w:val="00041A52"/>
    <w:rsid w:val="000C2866"/>
    <w:rsid w:val="000F0CE0"/>
    <w:rsid w:val="00120AA7"/>
    <w:rsid w:val="00147234"/>
    <w:rsid w:val="00157FAA"/>
    <w:rsid w:val="00176C84"/>
    <w:rsid w:val="00191CD7"/>
    <w:rsid w:val="00197921"/>
    <w:rsid w:val="001B1228"/>
    <w:rsid w:val="001C313B"/>
    <w:rsid w:val="001D0101"/>
    <w:rsid w:val="00224301"/>
    <w:rsid w:val="00302F8D"/>
    <w:rsid w:val="00347B70"/>
    <w:rsid w:val="0038503D"/>
    <w:rsid w:val="003B0A14"/>
    <w:rsid w:val="003B5440"/>
    <w:rsid w:val="003D29E6"/>
    <w:rsid w:val="004054C6"/>
    <w:rsid w:val="004C6E5F"/>
    <w:rsid w:val="00510F74"/>
    <w:rsid w:val="005962F1"/>
    <w:rsid w:val="00600509"/>
    <w:rsid w:val="006162E1"/>
    <w:rsid w:val="00626CE9"/>
    <w:rsid w:val="00671A1A"/>
    <w:rsid w:val="006B2293"/>
    <w:rsid w:val="006B7B84"/>
    <w:rsid w:val="006F4C75"/>
    <w:rsid w:val="007644B6"/>
    <w:rsid w:val="00787978"/>
    <w:rsid w:val="007B5AC5"/>
    <w:rsid w:val="00803ADA"/>
    <w:rsid w:val="00816B35"/>
    <w:rsid w:val="00874BA6"/>
    <w:rsid w:val="008D3429"/>
    <w:rsid w:val="008E63D8"/>
    <w:rsid w:val="008E6CBE"/>
    <w:rsid w:val="008F41FE"/>
    <w:rsid w:val="009546D1"/>
    <w:rsid w:val="00955AE6"/>
    <w:rsid w:val="0098433C"/>
    <w:rsid w:val="00986021"/>
    <w:rsid w:val="009A55DB"/>
    <w:rsid w:val="009E225B"/>
    <w:rsid w:val="00A823D4"/>
    <w:rsid w:val="00A857B1"/>
    <w:rsid w:val="00AD07D2"/>
    <w:rsid w:val="00AF1954"/>
    <w:rsid w:val="00B06A28"/>
    <w:rsid w:val="00B13946"/>
    <w:rsid w:val="00B524CF"/>
    <w:rsid w:val="00B940F9"/>
    <w:rsid w:val="00BD5678"/>
    <w:rsid w:val="00C67EC0"/>
    <w:rsid w:val="00CC5D21"/>
    <w:rsid w:val="00D61138"/>
    <w:rsid w:val="00DC3C12"/>
    <w:rsid w:val="00DF3CE5"/>
    <w:rsid w:val="00EC7692"/>
    <w:rsid w:val="00EE28BF"/>
    <w:rsid w:val="00F907AF"/>
    <w:rsid w:val="00FE78E8"/>
    <w:rsid w:val="00FF61C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wis721ExBT10ptNoirAvant6pt">
    <w:name w:val="Style Swis721 Ex BT 10 pt Noir Avant : 6 pt"/>
    <w:basedOn w:val="Normal"/>
    <w:autoRedefine/>
    <w:rsid w:val="00BD5678"/>
    <w:pPr>
      <w:tabs>
        <w:tab w:val="left" w:pos="12600"/>
      </w:tabs>
      <w:spacing w:before="240" w:after="0" w:line="240" w:lineRule="auto"/>
    </w:pPr>
    <w:rPr>
      <w:rFonts w:ascii="Swiss 721" w:eastAsia="Times New Roman" w:hAnsi="Swiss 721" w:cs="Times New Roman"/>
      <w:color w:val="000000" w:themeColor="text1"/>
      <w:sz w:val="18"/>
      <w:szCs w:val="18"/>
      <w:lang w:val="fr-FR" w:eastAsia="ja-JP"/>
    </w:rPr>
  </w:style>
  <w:style w:type="paragraph" w:customStyle="1" w:styleId="StylenumrationSwis721ExBT">
    <w:name w:val="Style énumération + Swis721 Ex BT"/>
    <w:basedOn w:val="Normal"/>
    <w:autoRedefine/>
    <w:rsid w:val="006F4C75"/>
    <w:pPr>
      <w:numPr>
        <w:numId w:val="1"/>
      </w:numPr>
      <w:tabs>
        <w:tab w:val="left" w:pos="993"/>
      </w:tabs>
      <w:spacing w:before="120" w:after="0" w:line="240" w:lineRule="auto"/>
      <w:ind w:left="720" w:hanging="357"/>
      <w:jc w:val="both"/>
    </w:pPr>
    <w:rPr>
      <w:rFonts w:ascii="Swiss 721" w:eastAsia="Times New Roman" w:hAnsi="Swiss 721" w:cs="Times New Roman"/>
      <w:sz w:val="18"/>
      <w:szCs w:val="18"/>
      <w:lang w:val="fr-FR" w:eastAsia="fr-FR"/>
    </w:rPr>
  </w:style>
  <w:style w:type="paragraph" w:styleId="BalloonText">
    <w:name w:val="Balloon Text"/>
    <w:basedOn w:val="Normal"/>
    <w:link w:val="BalloonTextChar"/>
    <w:uiPriority w:val="99"/>
    <w:semiHidden/>
    <w:unhideWhenUsed/>
    <w:rsid w:val="00BD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78"/>
    <w:rPr>
      <w:rFonts w:ascii="Tahoma" w:hAnsi="Tahoma" w:cs="Tahoma"/>
      <w:sz w:val="16"/>
      <w:szCs w:val="16"/>
    </w:rPr>
  </w:style>
  <w:style w:type="paragraph" w:styleId="ListParagraph">
    <w:name w:val="List Paragraph"/>
    <w:basedOn w:val="Normal"/>
    <w:uiPriority w:val="34"/>
    <w:qFormat/>
    <w:rsid w:val="00147234"/>
    <w:pPr>
      <w:ind w:left="720"/>
      <w:contextualSpacing/>
    </w:pPr>
  </w:style>
  <w:style w:type="paragraph" w:styleId="BodyText">
    <w:name w:val="Body Text"/>
    <w:basedOn w:val="StyleSwis721ExBT10ptNoirAvant6pt"/>
    <w:link w:val="BodyTextChar"/>
    <w:rsid w:val="00147234"/>
    <w:pPr>
      <w:jc w:val="both"/>
    </w:pPr>
  </w:style>
  <w:style w:type="character" w:customStyle="1" w:styleId="BodyTextChar">
    <w:name w:val="Body Text Char"/>
    <w:basedOn w:val="DefaultParagraphFont"/>
    <w:link w:val="BodyText"/>
    <w:rsid w:val="00147234"/>
    <w:rPr>
      <w:rFonts w:ascii="Swiss 721" w:eastAsia="Times New Roman" w:hAnsi="Swiss 721" w:cs="Times New Roman"/>
      <w:color w:val="000000" w:themeColor="text1"/>
      <w:sz w:val="18"/>
      <w:szCs w:val="18"/>
      <w:lang w:val="fr-FR" w:eastAsia="ja-JP"/>
    </w:rPr>
  </w:style>
  <w:style w:type="paragraph" w:customStyle="1" w:styleId="StyleGrasCentrAvant0ptAprs0pt">
    <w:name w:val="Style Gras Centré Avant : 0 pt Après : 0 pt"/>
    <w:basedOn w:val="Normal"/>
    <w:autoRedefine/>
    <w:rsid w:val="00147234"/>
    <w:pPr>
      <w:spacing w:after="0" w:line="240" w:lineRule="auto"/>
      <w:jc w:val="center"/>
    </w:pPr>
    <w:rPr>
      <w:rFonts w:ascii="Swis721 Ex BT" w:eastAsia="Times New Roman" w:hAnsi="Swis721 Ex BT" w:cs="Times New Roman"/>
      <w:b/>
      <w:bCs/>
      <w:sz w:val="18"/>
      <w:szCs w:val="20"/>
      <w:lang w:val="fr-FR" w:eastAsia="fr-FR"/>
    </w:rPr>
  </w:style>
</w:styles>
</file>

<file path=word/webSettings.xml><?xml version="1.0" encoding="utf-8"?>
<w:webSettings xmlns:r="http://schemas.openxmlformats.org/officeDocument/2006/relationships" xmlns:w="http://schemas.openxmlformats.org/wordprocessingml/2006/main">
  <w:divs>
    <w:div w:id="108857582">
      <w:bodyDiv w:val="1"/>
      <w:marLeft w:val="0"/>
      <w:marRight w:val="0"/>
      <w:marTop w:val="0"/>
      <w:marBottom w:val="0"/>
      <w:divBdr>
        <w:top w:val="none" w:sz="0" w:space="0" w:color="auto"/>
        <w:left w:val="none" w:sz="0" w:space="0" w:color="auto"/>
        <w:bottom w:val="none" w:sz="0" w:space="0" w:color="auto"/>
        <w:right w:val="none" w:sz="0" w:space="0" w:color="auto"/>
      </w:divBdr>
    </w:div>
    <w:div w:id="549224415">
      <w:bodyDiv w:val="1"/>
      <w:marLeft w:val="0"/>
      <w:marRight w:val="0"/>
      <w:marTop w:val="0"/>
      <w:marBottom w:val="0"/>
      <w:divBdr>
        <w:top w:val="none" w:sz="0" w:space="0" w:color="auto"/>
        <w:left w:val="none" w:sz="0" w:space="0" w:color="auto"/>
        <w:bottom w:val="none" w:sz="0" w:space="0" w:color="auto"/>
        <w:right w:val="none" w:sz="0" w:space="0" w:color="auto"/>
      </w:divBdr>
    </w:div>
    <w:div w:id="15002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Pasaj%20Turbogiratie\CD%20-%20Studiu%20solutie\graf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plotArea>
      <c:layout/>
      <c:pieChart>
        <c:varyColors val="1"/>
        <c:ser>
          <c:idx val="0"/>
          <c:order val="0"/>
          <c:dPt>
            <c:idx val="0"/>
            <c:spPr>
              <a:solidFill>
                <a:srgbClr val="0066FF"/>
              </a:solidFill>
              <a:ln>
                <a:noFill/>
              </a:ln>
            </c:spPr>
          </c:dPt>
          <c:dPt>
            <c:idx val="1"/>
            <c:spPr>
              <a:solidFill>
                <a:srgbClr val="00B0F0"/>
              </a:solidFill>
              <a:ln>
                <a:noFill/>
              </a:ln>
            </c:spPr>
          </c:dPt>
          <c:dPt>
            <c:idx val="2"/>
            <c:spPr>
              <a:solidFill>
                <a:schemeClr val="accent6">
                  <a:lumMod val="50000"/>
                </a:schemeClr>
              </a:solidFill>
              <a:ln>
                <a:noFill/>
              </a:ln>
            </c:spPr>
          </c:dPt>
          <c:dPt>
            <c:idx val="3"/>
            <c:spPr>
              <a:solidFill>
                <a:schemeClr val="bg2">
                  <a:lumMod val="50000"/>
                </a:schemeClr>
              </a:solidFill>
              <a:ln>
                <a:noFill/>
              </a:ln>
            </c:spPr>
          </c:dPt>
          <c:dPt>
            <c:idx val="4"/>
            <c:spPr>
              <a:solidFill>
                <a:srgbClr val="FF9900"/>
              </a:solidFill>
              <a:ln>
                <a:noFill/>
              </a:ln>
            </c:spPr>
          </c:dPt>
          <c:dPt>
            <c:idx val="5"/>
            <c:spPr>
              <a:solidFill>
                <a:srgbClr val="009900"/>
              </a:solidFill>
            </c:spPr>
          </c:dPt>
          <c:dPt>
            <c:idx val="6"/>
            <c:spPr>
              <a:solidFill>
                <a:srgbClr val="00FF00"/>
              </a:solidFill>
            </c:spPr>
          </c:dPt>
          <c:dLbls>
            <c:spPr>
              <a:solidFill>
                <a:schemeClr val="bg1"/>
              </a:solidFill>
              <a:ln>
                <a:noFill/>
              </a:ln>
            </c:spPr>
            <c:txPr>
              <a:bodyPr/>
              <a:lstStyle/>
              <a:p>
                <a:pPr>
                  <a:defRPr lang="fr-FR">
                    <a:latin typeface="Swiss 721" pitchFamily="2" charset="0"/>
                  </a:defRPr>
                </a:pPr>
                <a:endParaRPr lang="ro-RO"/>
              </a:p>
            </c:txPr>
            <c:dLblPos val="inEnd"/>
            <c:showPercent val="1"/>
          </c:dLbls>
          <c:cat>
            <c:strRef>
              <c:f>'est A1'!$A$8:$A$14</c:f>
              <c:strCache>
                <c:ptCount val="7"/>
                <c:pt idx="0">
                  <c:v>Studii  preliminare - topo - sondaje</c:v>
                </c:pt>
                <c:pt idx="1">
                  <c:v>Studii  &amp; management</c:v>
                </c:pt>
                <c:pt idx="2">
                  <c:v>Exproprieri &amp; retele</c:v>
                </c:pt>
                <c:pt idx="3">
                  <c:v>Lucrari subterane</c:v>
                </c:pt>
                <c:pt idx="4">
                  <c:v>Echipamente de operare</c:v>
                </c:pt>
                <c:pt idx="5">
                  <c:v>Lucrari la suprafata</c:v>
                </c:pt>
                <c:pt idx="6">
                  <c:v>Provizioane financiare </c:v>
                </c:pt>
              </c:strCache>
            </c:strRef>
          </c:cat>
          <c:val>
            <c:numRef>
              <c:f>'est A1'!$E$8:$E$14</c:f>
              <c:numCache>
                <c:formatCode>_-* #,##0" k€  "</c:formatCode>
                <c:ptCount val="7"/>
                <c:pt idx="0">
                  <c:v>530</c:v>
                </c:pt>
                <c:pt idx="1">
                  <c:v>1300</c:v>
                </c:pt>
                <c:pt idx="2">
                  <c:v>1480</c:v>
                </c:pt>
                <c:pt idx="3">
                  <c:v>9950</c:v>
                </c:pt>
                <c:pt idx="4">
                  <c:v>1500</c:v>
                </c:pt>
                <c:pt idx="5">
                  <c:v>3420</c:v>
                </c:pt>
                <c:pt idx="6">
                  <c:v>1820</c:v>
                </c:pt>
              </c:numCache>
            </c:numRef>
          </c:val>
        </c:ser>
        <c:firstSliceAng val="0"/>
      </c:pieChart>
    </c:plotArea>
    <c:legend>
      <c:legendPos val="r"/>
      <c:layout>
        <c:manualLayout>
          <c:xMode val="edge"/>
          <c:yMode val="edge"/>
          <c:x val="0.6047510811567316"/>
          <c:y val="0.21808083118240956"/>
          <c:w val="0.37929997025078732"/>
          <c:h val="0.73442422394296136"/>
        </c:manualLayout>
      </c:layout>
      <c:txPr>
        <a:bodyPr/>
        <a:lstStyle/>
        <a:p>
          <a:pPr>
            <a:defRPr lang="fr-FR">
              <a:latin typeface="Swiss 721" pitchFamily="2" charset="0"/>
            </a:defRPr>
          </a:pPr>
          <a:endParaRPr lang="ro-RO"/>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annamaria.sava</dc:creator>
  <cp:lastModifiedBy>petri.csilla</cp:lastModifiedBy>
  <cp:revision>2</cp:revision>
  <cp:lastPrinted>2015-07-15T14:34:00Z</cp:lastPrinted>
  <dcterms:created xsi:type="dcterms:W3CDTF">2015-07-16T11:31:00Z</dcterms:created>
  <dcterms:modified xsi:type="dcterms:W3CDTF">2015-07-16T11:31:00Z</dcterms:modified>
</cp:coreProperties>
</file>